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E0" w:rsidRDefault="004B77E0" w:rsidP="00924DDA">
      <w:pPr>
        <w:widowControl w:val="0"/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Куцик</w:t>
      </w:r>
      <w:r w:rsidR="00924DDA" w:rsidRPr="0054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Д., Скляров Є.</w:t>
      </w:r>
    </w:p>
    <w:p w:rsidR="004B77E0" w:rsidRDefault="004B77E0" w:rsidP="00924DDA">
      <w:pPr>
        <w:widowControl w:val="0"/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77E0">
        <w:rPr>
          <w:rFonts w:ascii="Times New Roman" w:hAnsi="Times New Roman" w:cs="Times New Roman"/>
          <w:sz w:val="28"/>
          <w:szCs w:val="28"/>
          <w:lang w:val="uk-UA"/>
        </w:rPr>
        <w:t>Львівський національний медичний університет імені Данила Галицького</w:t>
      </w:r>
    </w:p>
    <w:p w:rsidR="00F6207E" w:rsidRDefault="00F6207E" w:rsidP="00924DDA">
      <w:pPr>
        <w:widowControl w:val="0"/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терапії №1 та медичної діагностики ФПДО</w:t>
      </w:r>
    </w:p>
    <w:p w:rsidR="006F38F0" w:rsidRPr="00037265" w:rsidRDefault="00FD0053" w:rsidP="00924DDA">
      <w:pPr>
        <w:widowControl w:val="0"/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Предиктори</w:t>
      </w:r>
      <w:r w:rsidR="000B2C2E" w:rsidRPr="000B2C2E">
        <w:rPr>
          <w:rFonts w:ascii="Times New Roman" w:hAnsi="Times New Roman" w:cs="Times New Roman"/>
          <w:sz w:val="28"/>
          <w:szCs w:val="28"/>
        </w:rPr>
        <w:t xml:space="preserve"> </w:t>
      </w:r>
      <w:r w:rsidR="00374E73">
        <w:rPr>
          <w:rFonts w:ascii="Times New Roman" w:hAnsi="Times New Roman" w:cs="Times New Roman"/>
          <w:sz w:val="28"/>
          <w:szCs w:val="28"/>
          <w:lang w:val="uk-UA"/>
        </w:rPr>
        <w:t xml:space="preserve">ураження </w:t>
      </w:r>
      <w:r w:rsidR="00A54EC3">
        <w:rPr>
          <w:rFonts w:ascii="Times New Roman" w:hAnsi="Times New Roman" w:cs="Times New Roman"/>
          <w:sz w:val="28"/>
          <w:szCs w:val="28"/>
          <w:lang w:val="uk-UA"/>
        </w:rPr>
        <w:t xml:space="preserve">нирок у хворих </w:t>
      </w:r>
      <w:r w:rsidR="003916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0208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C7775">
        <w:rPr>
          <w:rFonts w:ascii="Times New Roman" w:hAnsi="Times New Roman" w:cs="Times New Roman"/>
          <w:sz w:val="28"/>
          <w:szCs w:val="28"/>
          <w:lang w:val="uk-UA"/>
        </w:rPr>
        <w:t>метаболічним синдромом.</w:t>
      </w:r>
    </w:p>
    <w:p w:rsidR="00FE2570" w:rsidRDefault="00FF1F3A" w:rsidP="00924DDA">
      <w:pPr>
        <w:widowControl w:val="0"/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Ключові слова: </w:t>
      </w:r>
      <w:r w:rsidR="00FE2570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037265">
        <w:rPr>
          <w:rFonts w:ascii="Times New Roman" w:hAnsi="Times New Roman" w:cs="Times New Roman"/>
          <w:sz w:val="28"/>
          <w:szCs w:val="28"/>
          <w:lang w:val="uk-UA"/>
        </w:rPr>
        <w:t>болічний синдром, ураження нирок</w:t>
      </w:r>
      <w:r w:rsidR="00FE2570">
        <w:rPr>
          <w:rFonts w:ascii="Times New Roman" w:hAnsi="Times New Roman" w:cs="Times New Roman"/>
          <w:sz w:val="28"/>
          <w:szCs w:val="28"/>
          <w:lang w:val="uk-UA"/>
        </w:rPr>
        <w:t>, гідроген сульфід, мікроальбумінурія.</w:t>
      </w:r>
    </w:p>
    <w:p w:rsidR="008C39E3" w:rsidRPr="008C39E3" w:rsidRDefault="008C39E3" w:rsidP="00924DDA">
      <w:pPr>
        <w:widowControl w:val="0"/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72CC">
        <w:rPr>
          <w:rFonts w:ascii="Times New Roman" w:hAnsi="Times New Roman" w:cs="Times New Roman"/>
          <w:sz w:val="28"/>
          <w:szCs w:val="28"/>
        </w:rPr>
        <w:t>УДК: 616.61-02: 616 – 008.9.</w:t>
      </w:r>
    </w:p>
    <w:p w:rsidR="00F47C3B" w:rsidRPr="00406AC4" w:rsidRDefault="00F47C3B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C6" w:rsidRDefault="00A158C6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8C6">
        <w:rPr>
          <w:rFonts w:ascii="Times New Roman" w:hAnsi="Times New Roman" w:cs="Times New Roman"/>
          <w:b/>
          <w:sz w:val="28"/>
          <w:szCs w:val="28"/>
          <w:lang w:val="uk-UA"/>
        </w:rPr>
        <w:t>Резюме</w:t>
      </w:r>
    </w:p>
    <w:p w:rsidR="00E67091" w:rsidRPr="00E67091" w:rsidRDefault="00E67091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C3B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Pr="00E67091">
        <w:rPr>
          <w:rFonts w:ascii="Times New Roman" w:hAnsi="Times New Roman" w:cs="Times New Roman"/>
          <w:sz w:val="28"/>
          <w:szCs w:val="28"/>
          <w:lang w:val="uk-UA"/>
        </w:rPr>
        <w:t xml:space="preserve">: Метаболічний синдром є епідемією ХХІ століття. Кожен з компонентів метаболічного синдрому </w:t>
      </w:r>
      <w:r w:rsidR="00924DDA" w:rsidRPr="00E67091">
        <w:rPr>
          <w:rFonts w:ascii="Times New Roman" w:hAnsi="Times New Roman" w:cs="Times New Roman"/>
          <w:sz w:val="28"/>
          <w:szCs w:val="28"/>
          <w:lang w:val="uk-UA"/>
        </w:rPr>
        <w:t>(артеріальна гіпертензія, дисліпідемія, гіперглікемія)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 xml:space="preserve"> може бути</w:t>
      </w:r>
      <w:r w:rsidRPr="00E67091">
        <w:rPr>
          <w:rFonts w:ascii="Times New Roman" w:hAnsi="Times New Roman" w:cs="Times New Roman"/>
          <w:sz w:val="28"/>
          <w:szCs w:val="28"/>
          <w:lang w:val="uk-UA"/>
        </w:rPr>
        <w:t xml:space="preserve"> фактором ризику хронічної хвороби нирок. Однак залишається невідомим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67091">
        <w:rPr>
          <w:rFonts w:ascii="Times New Roman" w:hAnsi="Times New Roman" w:cs="Times New Roman"/>
          <w:sz w:val="28"/>
          <w:szCs w:val="28"/>
          <w:lang w:val="uk-UA"/>
        </w:rPr>
        <w:t xml:space="preserve"> що саме відіграє ключову ро</w:t>
      </w:r>
      <w:r>
        <w:rPr>
          <w:rFonts w:ascii="Times New Roman" w:hAnsi="Times New Roman" w:cs="Times New Roman"/>
          <w:sz w:val="28"/>
          <w:szCs w:val="28"/>
          <w:lang w:val="uk-UA"/>
        </w:rPr>
        <w:t>ль у прогресуванні захворювання.</w:t>
      </w:r>
    </w:p>
    <w:p w:rsidR="00435A34" w:rsidRPr="00A158C6" w:rsidRDefault="00435A34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C3B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E6709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виявити ранні предиктори ураження нирок </w:t>
      </w:r>
      <w:r w:rsidR="00A158C6">
        <w:rPr>
          <w:rFonts w:ascii="Times New Roman" w:hAnsi="Times New Roman" w:cs="Times New Roman"/>
          <w:sz w:val="28"/>
          <w:szCs w:val="28"/>
          <w:lang w:val="uk-UA"/>
        </w:rPr>
        <w:t>у хворих з метаболічним синдромом.</w:t>
      </w:r>
    </w:p>
    <w:p w:rsidR="00D83A8F" w:rsidRPr="00D83A8F" w:rsidRDefault="00435A34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3B">
        <w:rPr>
          <w:rFonts w:ascii="Times New Roman" w:hAnsi="Times New Roman" w:cs="Times New Roman"/>
          <w:b/>
          <w:sz w:val="28"/>
          <w:szCs w:val="28"/>
          <w:lang w:val="uk-UA"/>
        </w:rPr>
        <w:t>Матеріали і методи</w:t>
      </w:r>
      <w:r w:rsidR="00126C39">
        <w:rPr>
          <w:rFonts w:ascii="Times New Roman" w:hAnsi="Times New Roman" w:cs="Times New Roman"/>
          <w:sz w:val="28"/>
          <w:szCs w:val="28"/>
          <w:lang w:val="uk-UA"/>
        </w:rPr>
        <w:t>: обстежено 70 пацієнтів з метаболічним синдромом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00CAE" w:rsidRPr="00E00CAE">
        <w:rPr>
          <w:rFonts w:ascii="Times New Roman" w:hAnsi="Times New Roman" w:cs="Times New Roman"/>
          <w:sz w:val="28"/>
          <w:szCs w:val="28"/>
          <w:lang w:val="uk-UA"/>
        </w:rPr>
        <w:t xml:space="preserve">Окрім стандартних методів дослідження, 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>проводили</w:t>
      </w:r>
      <w:r w:rsidR="00E00CAE" w:rsidRPr="00E00CAE">
        <w:rPr>
          <w:rFonts w:ascii="Times New Roman" w:hAnsi="Times New Roman" w:cs="Times New Roman"/>
          <w:sz w:val="28"/>
          <w:szCs w:val="28"/>
          <w:lang w:val="uk-UA"/>
        </w:rPr>
        <w:t xml:space="preserve"> забір </w:t>
      </w:r>
      <w:r w:rsidR="00E154D6">
        <w:rPr>
          <w:rFonts w:ascii="Times New Roman" w:hAnsi="Times New Roman" w:cs="Times New Roman"/>
          <w:sz w:val="28"/>
          <w:szCs w:val="28"/>
          <w:lang w:val="uk-UA"/>
        </w:rPr>
        <w:t xml:space="preserve">крові з вени на </w:t>
      </w:r>
      <w:r w:rsidR="00A158C6">
        <w:rPr>
          <w:rFonts w:ascii="Times New Roman" w:hAnsi="Times New Roman" w:cs="Times New Roman"/>
          <w:sz w:val="28"/>
          <w:szCs w:val="28"/>
          <w:lang w:val="uk-UA"/>
        </w:rPr>
        <w:t>маркери ендотеліальної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8C6">
        <w:rPr>
          <w:rFonts w:ascii="Times New Roman" w:hAnsi="Times New Roman" w:cs="Times New Roman"/>
          <w:sz w:val="28"/>
          <w:szCs w:val="28"/>
          <w:lang w:val="uk-UA"/>
        </w:rPr>
        <w:t xml:space="preserve">дисфункції 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158C6">
        <w:rPr>
          <w:rFonts w:ascii="Times New Roman" w:hAnsi="Times New Roman" w:cs="Times New Roman"/>
          <w:sz w:val="28"/>
          <w:szCs w:val="28"/>
          <w:lang w:val="uk-UA"/>
        </w:rPr>
        <w:t xml:space="preserve">гідроген 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>сульфід та нітроген мон</w:t>
      </w:r>
      <w:r w:rsidR="00E00CAE" w:rsidRPr="00E00CAE">
        <w:rPr>
          <w:rFonts w:ascii="Times New Roman" w:hAnsi="Times New Roman" w:cs="Times New Roman"/>
          <w:sz w:val="28"/>
          <w:szCs w:val="28"/>
          <w:lang w:val="uk-UA"/>
        </w:rPr>
        <w:t>ооксид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E00CAE" w:rsidRPr="00E0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>визначали</w:t>
      </w:r>
      <w:r w:rsidR="00E00CAE" w:rsidRPr="00E00CAE">
        <w:rPr>
          <w:rFonts w:ascii="Times New Roman" w:hAnsi="Times New Roman" w:cs="Times New Roman"/>
          <w:sz w:val="28"/>
          <w:szCs w:val="28"/>
          <w:lang w:val="uk-UA"/>
        </w:rPr>
        <w:t xml:space="preserve"> мікроальбумін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 xml:space="preserve"> у сечі</w:t>
      </w:r>
      <w:r w:rsidR="00E00CAE" w:rsidRPr="00E00C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Усі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пацієнт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ступеня альбумінурії 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>розподілили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3 групи: нормо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, мікро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>-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макроальбумінурія.</w:t>
      </w:r>
      <w:r w:rsidR="00E00CAE">
        <w:rPr>
          <w:rFonts w:ascii="Times New Roman" w:hAnsi="Times New Roman" w:cs="Times New Roman"/>
          <w:sz w:val="28"/>
          <w:szCs w:val="28"/>
          <w:lang w:val="uk-UA"/>
        </w:rPr>
        <w:t xml:space="preserve"> Для порівняння 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 xml:space="preserve">показників </w:t>
      </w:r>
      <w:r w:rsidR="00E00CAE">
        <w:rPr>
          <w:rFonts w:ascii="Times New Roman" w:hAnsi="Times New Roman" w:cs="Times New Roman"/>
          <w:sz w:val="28"/>
          <w:szCs w:val="28"/>
          <w:lang w:val="uk-UA"/>
        </w:rPr>
        <w:t xml:space="preserve">між групами 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>розраховували</w:t>
      </w:r>
      <w:r w:rsidR="00E00CAE">
        <w:rPr>
          <w:rFonts w:ascii="Times New Roman" w:hAnsi="Times New Roman" w:cs="Times New Roman"/>
          <w:sz w:val="28"/>
          <w:szCs w:val="28"/>
          <w:lang w:val="uk-UA"/>
        </w:rPr>
        <w:t xml:space="preserve"> Т-критерій Стьюдента</w:t>
      </w:r>
      <w:r w:rsidR="001C2E06">
        <w:rPr>
          <w:rFonts w:ascii="Times New Roman" w:hAnsi="Times New Roman" w:cs="Times New Roman"/>
          <w:sz w:val="28"/>
          <w:szCs w:val="28"/>
          <w:lang w:val="uk-UA"/>
        </w:rPr>
        <w:t>, а для виявлення зв</w:t>
      </w:r>
      <w:r w:rsidR="00A158C6" w:rsidRPr="00A158C6">
        <w:rPr>
          <w:rFonts w:ascii="Times New Roman" w:hAnsi="Times New Roman" w:cs="Times New Roman"/>
          <w:sz w:val="28"/>
          <w:szCs w:val="28"/>
        </w:rPr>
        <w:t>’</w:t>
      </w:r>
      <w:r w:rsidR="001C2E06">
        <w:rPr>
          <w:rFonts w:ascii="Times New Roman" w:hAnsi="Times New Roman" w:cs="Times New Roman"/>
          <w:sz w:val="28"/>
          <w:szCs w:val="28"/>
          <w:lang w:val="uk-UA"/>
        </w:rPr>
        <w:t xml:space="preserve">язку між окремими величинами 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C2E06">
        <w:rPr>
          <w:rFonts w:ascii="Times New Roman" w:hAnsi="Times New Roman" w:cs="Times New Roman"/>
          <w:sz w:val="28"/>
          <w:szCs w:val="28"/>
          <w:lang w:val="uk-UA"/>
        </w:rPr>
        <w:t>коефіцієнт кореляції Пірсона.</w:t>
      </w:r>
    </w:p>
    <w:p w:rsidR="00F40575" w:rsidRPr="00406AC4" w:rsidRDefault="00F40575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C3B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Pr="00E67091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Значення систолічного артеріального тиску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вищим 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>серед пацієнтів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мікроальбумінур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>ією</w:t>
      </w:r>
      <w:r w:rsidR="00FF1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 xml:space="preserve">порівняно з показниками хворих з нормоальбумінурією </w:t>
      </w:r>
      <w:r w:rsidR="00FF1F3A">
        <w:rPr>
          <w:rFonts w:ascii="Times New Roman" w:hAnsi="Times New Roman" w:cs="Times New Roman"/>
          <w:sz w:val="28"/>
          <w:szCs w:val="28"/>
          <w:lang w:val="uk-UA"/>
        </w:rPr>
        <w:t>(163,</w:t>
      </w:r>
      <w:r w:rsidR="0023685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154D6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CD66FF">
        <w:rPr>
          <w:rFonts w:ascii="Times New Roman" w:hAnsi="Times New Roman" w:cs="Times New Roman"/>
          <w:sz w:val="28"/>
          <w:szCs w:val="28"/>
          <w:lang w:val="uk-UA"/>
        </w:rPr>
        <w:t>17,5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091">
        <w:rPr>
          <w:rFonts w:ascii="Times New Roman" w:hAnsi="Times New Roman" w:cs="Times New Roman"/>
          <w:sz w:val="28"/>
          <w:szCs w:val="28"/>
          <w:lang w:val="uk-UA"/>
        </w:rPr>
        <w:t>мм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091">
        <w:rPr>
          <w:rFonts w:ascii="Times New Roman" w:hAnsi="Times New Roman" w:cs="Times New Roman"/>
          <w:sz w:val="28"/>
          <w:szCs w:val="28"/>
          <w:lang w:val="uk-UA"/>
        </w:rPr>
        <w:t>рт.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 xml:space="preserve">проти </w:t>
      </w:r>
      <w:r w:rsidR="00236852">
        <w:rPr>
          <w:rFonts w:ascii="Times New Roman" w:hAnsi="Times New Roman" w:cs="Times New Roman"/>
          <w:sz w:val="28"/>
          <w:szCs w:val="28"/>
          <w:lang w:val="uk-UA"/>
        </w:rPr>
        <w:t>153,0</w:t>
      </w:r>
      <w:r w:rsidR="00E67091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CD66FF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703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66F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D15B0" w:rsidRPr="002D1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4D6">
        <w:rPr>
          <w:rFonts w:ascii="Times New Roman" w:hAnsi="Times New Roman" w:cs="Times New Roman"/>
          <w:sz w:val="28"/>
          <w:szCs w:val="28"/>
          <w:lang w:val="uk-UA"/>
        </w:rPr>
        <w:t>мм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4D6">
        <w:rPr>
          <w:rFonts w:ascii="Times New Roman" w:hAnsi="Times New Roman" w:cs="Times New Roman"/>
          <w:sz w:val="28"/>
          <w:szCs w:val="28"/>
          <w:lang w:val="uk-UA"/>
        </w:rPr>
        <w:t>рт.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 xml:space="preserve"> ст.,</w:t>
      </w:r>
      <w:r w:rsidR="00E67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2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372CC">
        <w:rPr>
          <w:rFonts w:ascii="Times New Roman" w:hAnsi="Times New Roman" w:cs="Times New Roman"/>
          <w:sz w:val="28"/>
          <w:szCs w:val="28"/>
          <w:lang w:val="uk-UA"/>
        </w:rPr>
        <w:t>&lt;0</w:t>
      </w:r>
      <w:proofErr w:type="gramStart"/>
      <w:r w:rsidR="00E67091">
        <w:rPr>
          <w:rFonts w:ascii="Times New Roman" w:hAnsi="Times New Roman" w:cs="Times New Roman"/>
          <w:sz w:val="28"/>
          <w:szCs w:val="28"/>
          <w:lang w:val="uk-UA"/>
        </w:rPr>
        <w:t>,01</w:t>
      </w:r>
      <w:proofErr w:type="gramEnd"/>
      <w:r w:rsidR="00924DD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372CC" w:rsidRPr="005372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29E5">
        <w:rPr>
          <w:rFonts w:ascii="Times New Roman" w:hAnsi="Times New Roman" w:cs="Times New Roman"/>
          <w:sz w:val="28"/>
          <w:szCs w:val="28"/>
          <w:lang w:val="uk-UA"/>
        </w:rPr>
        <w:t xml:space="preserve"> Рівень гідроген</w:t>
      </w:r>
      <w:r w:rsidR="00924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9E5">
        <w:rPr>
          <w:rFonts w:ascii="Times New Roman" w:hAnsi="Times New Roman" w:cs="Times New Roman"/>
          <w:sz w:val="28"/>
          <w:szCs w:val="28"/>
          <w:lang w:val="uk-UA"/>
        </w:rPr>
        <w:t xml:space="preserve">сульфіду </w:t>
      </w:r>
      <w:r w:rsidR="00252AEB">
        <w:rPr>
          <w:rFonts w:ascii="Times New Roman" w:hAnsi="Times New Roman" w:cs="Times New Roman"/>
          <w:sz w:val="28"/>
          <w:szCs w:val="28"/>
          <w:lang w:val="uk-UA"/>
        </w:rPr>
        <w:t xml:space="preserve">достовірно </w:t>
      </w:r>
      <w:r w:rsidR="000129E5">
        <w:rPr>
          <w:rFonts w:ascii="Times New Roman" w:hAnsi="Times New Roman" w:cs="Times New Roman"/>
          <w:sz w:val="28"/>
          <w:szCs w:val="28"/>
          <w:lang w:val="uk-UA"/>
        </w:rPr>
        <w:t xml:space="preserve">був </w:t>
      </w:r>
      <w:r w:rsidR="00252AEB"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="000129E5">
        <w:rPr>
          <w:rFonts w:ascii="Times New Roman" w:hAnsi="Times New Roman" w:cs="Times New Roman"/>
          <w:sz w:val="28"/>
          <w:szCs w:val="28"/>
          <w:lang w:val="uk-UA"/>
        </w:rPr>
        <w:t xml:space="preserve">вищим </w:t>
      </w:r>
      <w:r w:rsidR="00252AEB">
        <w:rPr>
          <w:rFonts w:ascii="Times New Roman" w:hAnsi="Times New Roman" w:cs="Times New Roman"/>
          <w:sz w:val="28"/>
          <w:szCs w:val="28"/>
          <w:lang w:val="uk-UA"/>
        </w:rPr>
        <w:t>у пацієнтів з</w:t>
      </w:r>
      <w:r w:rsidR="000129E5">
        <w:rPr>
          <w:rFonts w:ascii="Times New Roman" w:hAnsi="Times New Roman" w:cs="Times New Roman"/>
          <w:sz w:val="28"/>
          <w:szCs w:val="28"/>
          <w:lang w:val="uk-UA"/>
        </w:rPr>
        <w:t xml:space="preserve"> нормо</w:t>
      </w:r>
      <w:r w:rsidR="00252A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129E5">
        <w:rPr>
          <w:rFonts w:ascii="Times New Roman" w:hAnsi="Times New Roman" w:cs="Times New Roman"/>
          <w:sz w:val="28"/>
          <w:szCs w:val="28"/>
          <w:lang w:val="uk-UA"/>
        </w:rPr>
        <w:t>льбумі</w:t>
      </w:r>
      <w:r w:rsidR="00E154D6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0129E5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252AEB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0129E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D66FF">
        <w:rPr>
          <w:rFonts w:ascii="Times New Roman" w:hAnsi="Times New Roman" w:cs="Times New Roman"/>
          <w:sz w:val="28"/>
          <w:szCs w:val="28"/>
          <w:lang w:val="uk-UA"/>
        </w:rPr>
        <w:t>66,3</w:t>
      </w:r>
      <w:r w:rsidR="00E154D6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CD66FF">
        <w:rPr>
          <w:rFonts w:ascii="Times New Roman" w:hAnsi="Times New Roman" w:cs="Times New Roman"/>
          <w:sz w:val="28"/>
          <w:szCs w:val="28"/>
          <w:lang w:val="uk-UA"/>
        </w:rPr>
        <w:t>5,7</w:t>
      </w:r>
      <w:r w:rsidR="002D15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54D6">
        <w:rPr>
          <w:rFonts w:ascii="Times New Roman" w:hAnsi="Times New Roman" w:cs="Times New Roman"/>
          <w:sz w:val="28"/>
          <w:szCs w:val="28"/>
          <w:lang w:val="uk-UA"/>
        </w:rPr>
        <w:t>µмоль</w:t>
      </w:r>
      <w:r w:rsidR="00252AE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372CC" w:rsidRPr="005372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36B0">
        <w:rPr>
          <w:rFonts w:ascii="Times New Roman" w:hAnsi="Times New Roman" w:cs="Times New Roman"/>
          <w:sz w:val="28"/>
          <w:szCs w:val="28"/>
          <w:lang w:val="uk-UA"/>
        </w:rPr>
        <w:t xml:space="preserve"> Крім того</w:t>
      </w:r>
      <w:r w:rsidR="00252A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15B0" w:rsidRPr="002D15B0">
        <w:rPr>
          <w:rFonts w:ascii="Times New Roman" w:hAnsi="Times New Roman" w:cs="Times New Roman"/>
          <w:sz w:val="28"/>
          <w:szCs w:val="28"/>
        </w:rPr>
        <w:t xml:space="preserve"> </w:t>
      </w:r>
      <w:r w:rsidR="00252AEB">
        <w:rPr>
          <w:rFonts w:ascii="Times New Roman" w:hAnsi="Times New Roman" w:cs="Times New Roman"/>
          <w:sz w:val="28"/>
          <w:szCs w:val="28"/>
          <w:lang w:val="uk-UA"/>
        </w:rPr>
        <w:t>виявлено</w:t>
      </w:r>
      <w:r w:rsidR="00B236B0">
        <w:rPr>
          <w:rFonts w:ascii="Times New Roman" w:hAnsi="Times New Roman" w:cs="Times New Roman"/>
          <w:sz w:val="28"/>
          <w:szCs w:val="28"/>
          <w:lang w:val="uk-UA"/>
        </w:rPr>
        <w:t xml:space="preserve"> помірний пози</w:t>
      </w:r>
      <w:r w:rsidR="00FF1F3A">
        <w:rPr>
          <w:rFonts w:ascii="Times New Roman" w:hAnsi="Times New Roman" w:cs="Times New Roman"/>
          <w:sz w:val="28"/>
          <w:szCs w:val="28"/>
          <w:lang w:val="uk-UA"/>
        </w:rPr>
        <w:t xml:space="preserve">тивний </w:t>
      </w:r>
      <w:r w:rsidR="00252AEB">
        <w:rPr>
          <w:rFonts w:ascii="Times New Roman" w:hAnsi="Times New Roman" w:cs="Times New Roman"/>
          <w:sz w:val="28"/>
          <w:szCs w:val="28"/>
          <w:lang w:val="uk-UA"/>
        </w:rPr>
        <w:t xml:space="preserve">кореляційний </w:t>
      </w:r>
      <w:r w:rsidR="00FF1F3A">
        <w:rPr>
          <w:rFonts w:ascii="Times New Roman" w:hAnsi="Times New Roman" w:cs="Times New Roman"/>
          <w:sz w:val="28"/>
          <w:szCs w:val="28"/>
          <w:lang w:val="uk-UA"/>
        </w:rPr>
        <w:t xml:space="preserve">зв'язок між значенням </w:t>
      </w:r>
      <w:r w:rsidR="001A5B62">
        <w:rPr>
          <w:rFonts w:ascii="Times New Roman" w:hAnsi="Times New Roman" w:cs="Times New Roman"/>
          <w:sz w:val="28"/>
          <w:szCs w:val="28"/>
          <w:lang w:val="uk-UA"/>
        </w:rPr>
        <w:t xml:space="preserve">систолічного артеріального </w:t>
      </w:r>
      <w:r w:rsidR="001A5B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тиску </w:t>
      </w:r>
      <w:r w:rsidR="00D83D42">
        <w:rPr>
          <w:rFonts w:ascii="Times New Roman" w:hAnsi="Times New Roman" w:cs="Times New Roman"/>
          <w:sz w:val="28"/>
          <w:szCs w:val="28"/>
          <w:lang w:val="uk-UA"/>
        </w:rPr>
        <w:t>та мікроальбумінурією</w:t>
      </w:r>
      <w:r w:rsidR="00252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6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52AE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52AEB" w:rsidRPr="00252AEB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E154D6" w:rsidRPr="00E154D6">
        <w:rPr>
          <w:rFonts w:ascii="Times New Roman" w:hAnsi="Times New Roman" w:cs="Times New Roman"/>
          <w:sz w:val="28"/>
          <w:szCs w:val="28"/>
          <w:lang w:val="uk-UA"/>
        </w:rPr>
        <w:t>0,3804</w:t>
      </w:r>
      <w:r w:rsidR="00B236B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52AEB" w:rsidRPr="00252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4D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83D42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E154D6" w:rsidRPr="00E154D6">
        <w:rPr>
          <w:rFonts w:ascii="Times New Roman" w:hAnsi="Times New Roman" w:cs="Times New Roman"/>
          <w:sz w:val="28"/>
          <w:szCs w:val="28"/>
          <w:lang w:val="uk-UA"/>
        </w:rPr>
        <w:t>0,01)</w:t>
      </w:r>
      <w:r w:rsidR="00252AEB" w:rsidRPr="00252A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36B0">
        <w:rPr>
          <w:rFonts w:ascii="Times New Roman" w:hAnsi="Times New Roman" w:cs="Times New Roman"/>
          <w:sz w:val="28"/>
          <w:szCs w:val="28"/>
          <w:lang w:val="uk-UA"/>
        </w:rPr>
        <w:t xml:space="preserve"> а також помірний негативний між значеннями </w:t>
      </w:r>
      <w:r w:rsidR="00FF1F3A">
        <w:rPr>
          <w:rFonts w:ascii="Times New Roman" w:hAnsi="Times New Roman" w:cs="Times New Roman"/>
          <w:sz w:val="28"/>
          <w:szCs w:val="28"/>
          <w:lang w:val="uk-UA"/>
        </w:rPr>
        <w:t>гідро</w:t>
      </w:r>
      <w:r w:rsidR="00D83D42">
        <w:rPr>
          <w:rFonts w:ascii="Times New Roman" w:hAnsi="Times New Roman" w:cs="Times New Roman"/>
          <w:sz w:val="28"/>
          <w:szCs w:val="28"/>
          <w:lang w:val="uk-UA"/>
        </w:rPr>
        <w:t>ген</w:t>
      </w:r>
      <w:r w:rsidR="00252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D42">
        <w:rPr>
          <w:rFonts w:ascii="Times New Roman" w:hAnsi="Times New Roman" w:cs="Times New Roman"/>
          <w:sz w:val="28"/>
          <w:szCs w:val="28"/>
          <w:lang w:val="uk-UA"/>
        </w:rPr>
        <w:t>сульфіду та мікроальбумінурією</w:t>
      </w:r>
      <w:r w:rsidR="00E154D6" w:rsidRPr="00E154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154D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154D6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E154D6" w:rsidRPr="00E154D6">
        <w:rPr>
          <w:rFonts w:ascii="Times New Roman" w:hAnsi="Times New Roman" w:cs="Times New Roman"/>
          <w:sz w:val="28"/>
          <w:szCs w:val="28"/>
          <w:lang w:val="uk-UA"/>
        </w:rPr>
        <w:t xml:space="preserve">-0,3404; </w:t>
      </w:r>
      <w:r w:rsidR="00E154D6" w:rsidRPr="00E154D6">
        <w:rPr>
          <w:rFonts w:ascii="Times New Roman" w:hAnsi="Times New Roman" w:cs="Times New Roman"/>
          <w:sz w:val="28"/>
          <w:szCs w:val="28"/>
        </w:rPr>
        <w:t>p</w:t>
      </w:r>
      <w:r w:rsidR="00E154D6" w:rsidRPr="00E154D6">
        <w:rPr>
          <w:rFonts w:ascii="Times New Roman" w:hAnsi="Times New Roman" w:cs="Times New Roman"/>
          <w:sz w:val="28"/>
          <w:szCs w:val="28"/>
          <w:lang w:val="uk-UA"/>
        </w:rPr>
        <w:t>&lt;0,01).</w:t>
      </w:r>
    </w:p>
    <w:p w:rsidR="00A964A7" w:rsidRPr="00406AC4" w:rsidRDefault="00B236B0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C3B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1A5B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63C27" w:rsidRPr="00063C27">
        <w:rPr>
          <w:rFonts w:ascii="Times New Roman" w:hAnsi="Times New Roman" w:cs="Times New Roman"/>
          <w:sz w:val="28"/>
          <w:szCs w:val="28"/>
          <w:lang w:val="uk-UA"/>
        </w:rPr>
        <w:t>ми виявили достовірне зниження рівн</w:t>
      </w:r>
      <w:r w:rsidR="002D15B0">
        <w:rPr>
          <w:rFonts w:ascii="Times New Roman" w:hAnsi="Times New Roman" w:cs="Times New Roman"/>
          <w:sz w:val="28"/>
          <w:szCs w:val="28"/>
          <w:lang w:val="uk-UA"/>
        </w:rPr>
        <w:t>я гідроген сульфіду до 57,4±7,9</w:t>
      </w:r>
      <w:r w:rsidR="002D15B0" w:rsidRPr="002D15B0">
        <w:rPr>
          <w:rFonts w:ascii="Times New Roman" w:hAnsi="Times New Roman" w:cs="Times New Roman"/>
          <w:sz w:val="28"/>
          <w:szCs w:val="28"/>
        </w:rPr>
        <w:t xml:space="preserve"> </w:t>
      </w:r>
      <w:r w:rsidR="00063C27" w:rsidRPr="00063C27">
        <w:rPr>
          <w:rFonts w:ascii="Times New Roman" w:hAnsi="Times New Roman" w:cs="Times New Roman"/>
          <w:sz w:val="28"/>
          <w:szCs w:val="28"/>
          <w:lang w:val="uk-UA"/>
        </w:rPr>
        <w:t>µмоль у хворих з метаболічним синдромом. Це може бути ра</w:t>
      </w:r>
      <w:r w:rsidR="00063C27">
        <w:rPr>
          <w:rFonts w:ascii="Times New Roman" w:hAnsi="Times New Roman" w:cs="Times New Roman"/>
          <w:sz w:val="28"/>
          <w:szCs w:val="28"/>
          <w:lang w:val="uk-UA"/>
        </w:rPr>
        <w:t>ннім предиктором ураження нирок</w:t>
      </w:r>
      <w:r w:rsidRPr="00B236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3A8F" w:rsidRPr="00406AC4" w:rsidRDefault="00D83A8F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4A7" w:rsidRDefault="00A158C6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7E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Постановка проблеми і аналіз останніх досліджень</w:t>
      </w:r>
      <w:r w:rsidRPr="00D83A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A54EC3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Метабол</w:t>
      </w:r>
      <w:r w:rsidR="004F1623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A54EC3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чний синдром</w:t>
      </w:r>
      <w:r w:rsidR="00241C24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(МС)</w:t>
      </w:r>
      <w:r w:rsidR="00A54EC3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епідемією ХХІ століття.</w:t>
      </w:r>
      <w:r w:rsidR="00C427A8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Його поширеність 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</w:t>
      </w:r>
      <w:r w:rsidR="00C427A8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індустріально розвинених</w:t>
      </w:r>
      <w:r w:rsidR="00C82D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країн світу становить 20-30%</w:t>
      </w:r>
      <w:r w:rsidR="004F1623" w:rsidRPr="00AA6F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37C96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Компоненти МС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137C96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ожиріння</w:t>
      </w:r>
      <w:r w:rsidR="00137C96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порушення толерантності </w:t>
      </w:r>
      <w:r w:rsidR="00C82D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глюкози або цукровий діабет </w:t>
      </w:r>
      <w:r w:rsidR="00137C96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 типу</w:t>
      </w:r>
      <w:r w:rsidR="00241C24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(ЦД 2), </w:t>
      </w:r>
      <w:r w:rsidR="00137C96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артеріальна гіпертензія</w:t>
      </w:r>
      <w:r w:rsidR="00241C24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(АГ)</w:t>
      </w:r>
      <w:r w:rsidR="00137C96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82D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дисліпідемія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37C96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призводять до виникнення важ</w:t>
      </w:r>
      <w:r w:rsidR="00241C24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</w:t>
      </w:r>
      <w:r w:rsidR="00C82D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серцево-судинних ускладнень</w:t>
      </w:r>
      <w:r w:rsidR="00D83A8F" w:rsidRPr="00D83A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[2,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83A8F" w:rsidRPr="00D83A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4,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83A8F" w:rsidRPr="00D83A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15]</w:t>
      </w:r>
      <w:r w:rsidR="00241C24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A964A7" w:rsidRDefault="00D00D6A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Відома</w:t>
      </w:r>
      <w:r w:rsidR="00A9521C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роль кардіоваскулярних факторів ризику також і у виникненні хронічної хвороби нирок</w:t>
      </w:r>
      <w:r w:rsidR="007F64DA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(ХХН)</w:t>
      </w:r>
      <w:r w:rsidR="00A9521C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F325C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 хворих, що потребують лікування методами замісної ниркової тер</w:t>
      </w:r>
      <w:r w:rsidR="00A964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апії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964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зростає з кожним роком </w:t>
      </w:r>
      <w:r w:rsidR="00CA39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592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3, 5,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2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="000F325C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]. 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361CE0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багатьох епідеміологічних дослідження</w:t>
      </w:r>
      <w:r w:rsidR="002E29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="00A964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підтверджується, що </w:t>
      </w:r>
      <w:r w:rsidR="000372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компоненти МС</w:t>
      </w:r>
      <w:r w:rsidR="00361CE0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незалежними предикторами виникнення протеїнурії, ХХН та її прогресування аж до розв</w:t>
      </w:r>
      <w:r w:rsidR="00A213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итку т</w:t>
      </w:r>
      <w:r w:rsidR="00BF73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ермінальної стадії [</w:t>
      </w:r>
      <w:r w:rsidR="00592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5,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2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6,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2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13,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2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B1534D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]. </w:t>
      </w:r>
      <w:r w:rsidR="00A964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це свідчить </w:t>
      </w:r>
      <w:r w:rsidR="00BA1A03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зв'язок м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іж МС та відомими маркерами ХХН</w:t>
      </w:r>
      <w:r w:rsidR="00A964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саме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A964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швидкістю 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клуб</w:t>
      </w:r>
      <w:r w:rsidR="000B2C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очкової</w:t>
      </w:r>
      <w:r w:rsidR="000B2C2E" w:rsidRPr="000B2C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A1A03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фільтрації, мі</w:t>
      </w:r>
      <w:r w:rsidR="005372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кроальбумінурією</w:t>
      </w:r>
      <w:r w:rsidR="007738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протеїнурією</w:t>
      </w:r>
      <w:r w:rsidR="00BA1A03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04CC5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Ключові ознаки МС 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004CC5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хронічне системне запалення та інсулінорезистентність</w:t>
      </w:r>
      <w:r w:rsidR="000B2C2E" w:rsidRPr="000B2C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D0F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призводять до гіперф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ільтрації та появи альбумінурії</w:t>
      </w:r>
      <w:r w:rsidR="000D0F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активації</w:t>
      </w:r>
      <w:r w:rsidR="006F38F0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ренін ангіотензин-альдостер</w:t>
      </w:r>
      <w:r w:rsidR="000D0F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онової системи</w:t>
      </w:r>
      <w:r w:rsidR="00A964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вивільнення </w:t>
      </w:r>
      <w:r w:rsidR="006F38F0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прозапальних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38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цитокінів</w:t>
      </w:r>
      <w:r w:rsidR="00D83A8F" w:rsidRPr="00D83A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[13-15]</w:t>
      </w:r>
      <w:r w:rsidR="006F38F0"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A964A7" w:rsidRDefault="00746DE8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Абдомінальне</w:t>
      </w:r>
      <w:r w:rsidR="0051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ожир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іння вважають основною передумовою виникнення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1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інсулінорезистентності, </w:t>
      </w:r>
      <w:r w:rsidR="00A964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гіперглікемії, </w:t>
      </w:r>
      <w:r w:rsidR="001821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АГ та дисліпідемії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83A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592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517832" w:rsidRPr="0051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Збільшення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849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вмісту жирової тканини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0,5 кг д 1,8 кг призводить до зниження чутливості тканини до інсуліну на 60%</w:t>
      </w:r>
      <w:r w:rsidR="00D83A8F" w:rsidRPr="000B2C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[2]</w:t>
      </w:r>
      <w:r w:rsidR="00182138" w:rsidRPr="00A849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950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Внаслідок ожиріння виникає гіперфі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льтрація, гіпертрофія подоцитів</w:t>
      </w:r>
      <w:r w:rsidR="006950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розтягнення мезангіального</w:t>
      </w:r>
      <w:r w:rsidR="00252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950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матриксу</w:t>
      </w:r>
      <w:r w:rsidR="000372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сприяє виникненню</w:t>
      </w:r>
      <w:r w:rsidR="003007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ХХН</w:t>
      </w:r>
      <w:r w:rsidR="00D83A8F" w:rsidRPr="00406A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[6]</w:t>
      </w:r>
      <w:r w:rsidR="00A964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52AEB" w:rsidRDefault="003C233C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lastRenderedPageBreak/>
        <w:t>Ушкодження нирок у хворих з наявними кардіоваскулярними факторами ризику (особливо гіпертонією, гіпергліке</w:t>
      </w:r>
      <w:r w:rsidR="00A964A7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мією та ожирінням) пов'язане з виникненням оксидативного стресу та </w:t>
      </w:r>
      <w:r w:rsidR="00D75560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системного хронічного запалення </w:t>
      </w:r>
      <w:r w:rsidR="00A964A7">
        <w:rPr>
          <w:rFonts w:ascii="Times New Roman" w:eastAsia="Times New Roman" w:hAnsi="Times New Roman" w:cs="Times New Roman"/>
          <w:color w:val="000000"/>
          <w:sz w:val="28"/>
          <w:lang w:val="uk-UA"/>
        </w:rPr>
        <w:t>[</w:t>
      </w:r>
      <w:r w:rsidR="005924B9">
        <w:rPr>
          <w:rFonts w:ascii="Times New Roman" w:eastAsia="Times New Roman" w:hAnsi="Times New Roman" w:cs="Times New Roman"/>
          <w:color w:val="000000"/>
          <w:sz w:val="28"/>
          <w:lang w:val="uk-UA"/>
        </w:rPr>
        <w:t>5,</w:t>
      </w:r>
      <w:r w:rsidR="00252AE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5924B9">
        <w:rPr>
          <w:rFonts w:ascii="Times New Roman" w:eastAsia="Times New Roman" w:hAnsi="Times New Roman" w:cs="Times New Roman"/>
          <w:color w:val="000000"/>
          <w:sz w:val="28"/>
          <w:lang w:val="uk-UA"/>
        </w:rPr>
        <w:t>15</w:t>
      </w:r>
      <w:r w:rsidR="00D75560" w:rsidRPr="00AA6F67">
        <w:rPr>
          <w:rFonts w:ascii="Times New Roman" w:eastAsia="Times New Roman" w:hAnsi="Times New Roman" w:cs="Times New Roman"/>
          <w:color w:val="000000"/>
          <w:sz w:val="28"/>
          <w:lang w:val="uk-UA"/>
        </w:rPr>
        <w:t>].</w:t>
      </w:r>
      <w:r w:rsidR="00252AE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81699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Ва</w:t>
      </w:r>
      <w:r w:rsidR="0003726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жливу роль </w:t>
      </w:r>
      <w:r w:rsidR="00252AEB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в</w:t>
      </w:r>
      <w:r w:rsidR="0003726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індукції запалення</w:t>
      </w:r>
      <w:r w:rsidR="00252AEB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Pr="0081699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мають </w:t>
      </w:r>
      <w:r w:rsidR="00A964A7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ітро</w:t>
      </w:r>
      <w:r w:rsidRPr="0081699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ген монооксид (</w:t>
      </w:r>
      <w:r w:rsidRPr="00AA6F67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NO</w:t>
      </w:r>
      <w:r w:rsidR="00A964A7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) і г</w:t>
      </w:r>
      <w:r w:rsidRPr="0081699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ідроген сульфід (</w:t>
      </w:r>
      <w:r w:rsidRPr="00AA6F67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H</w:t>
      </w:r>
      <w:r w:rsidRPr="00252AEB">
        <w:rPr>
          <w:rFonts w:ascii="Times New Roman" w:eastAsia="Times New Roman" w:hAnsi="Times New Roman" w:cs="Times New Roman"/>
          <w:sz w:val="28"/>
          <w:shd w:val="clear" w:color="auto" w:fill="FFFFFF"/>
          <w:vertAlign w:val="subscript"/>
          <w:lang w:val="uk-UA"/>
        </w:rPr>
        <w:t>2</w:t>
      </w:r>
      <w:r w:rsidRPr="00AA6F67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S</w:t>
      </w:r>
      <w:r w:rsidRPr="0081699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)</w:t>
      </w:r>
      <w:r w:rsidRPr="0081699F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>.</w:t>
      </w:r>
      <w:r w:rsidR="00252AEB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 </w:t>
      </w:r>
      <w:r w:rsidR="00D17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Разом з монооксидом вуглецю</w:t>
      </w:r>
      <w:r w:rsidR="00252A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37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(СО)</w:t>
      </w:r>
      <w:r w:rsidR="00A964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вони належать до </w:t>
      </w:r>
      <w:r w:rsidR="00D17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родини газотрансміттерів, що беруть участь в регуляції фізіологічних </w:t>
      </w:r>
      <w:r w:rsidR="00D77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функцій серцево-судинної, травної та </w:t>
      </w:r>
      <w:r w:rsidR="00D17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нервової </w:t>
      </w:r>
      <w:r w:rsidR="00D77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сист</w:t>
      </w:r>
      <w:r w:rsidR="00252A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ем</w:t>
      </w:r>
      <w:r w:rsidR="00D7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а також запальних процесів</w:t>
      </w:r>
      <w:r w:rsidR="00A964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</w:t>
      </w:r>
      <w:r w:rsidR="005924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12</w:t>
      </w:r>
      <w:r w:rsidR="00D75560" w:rsidRPr="00AA6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</w:p>
    <w:p w:rsidR="00FA0AE9" w:rsidRPr="00FA0AE9" w:rsidRDefault="009F75BD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Ендотеліальні клітини виділяють</w:t>
      </w:r>
      <w:r w:rsidR="00252AEB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відповідь на різні стимулюючі фактори – інсулін, естрадіол, ацетилхолін</w:t>
      </w:r>
      <w:r w:rsidR="009A5AD9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брадикінін, фактор росту ендотелі</w:t>
      </w:r>
      <w:r w:rsidR="00A42E18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ю судин</w:t>
      </w:r>
      <w:r w:rsidR="00A964A7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</w:t>
      </w:r>
      <w:r w:rsidR="005924B9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7,</w:t>
      </w:r>
      <w:r w:rsidR="00FA0AE9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924B9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10,</w:t>
      </w:r>
      <w:r w:rsidR="00FA0AE9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924B9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12</w:t>
      </w:r>
      <w:r w:rsidR="005B6EF0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="009A5AD9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A0AE9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</w:t>
      </w:r>
      <w:r w:rsidR="009B4CE0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2008 р</w:t>
      </w:r>
      <w:r w:rsidR="00FA0AE9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оці</w:t>
      </w:r>
      <w:r w:rsidR="009B4CE0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дослідили, що </w:t>
      </w:r>
      <w:r w:rsidR="009B4CE0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="009B4CE0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2</w:t>
      </w:r>
      <w:r w:rsidR="009B4CE0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9B4CE0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виділяється не лише гладкими м’яз</w:t>
      </w:r>
      <w:r w:rsidR="00FA0AE9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9B4CE0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вими клітинами судинної стінки, а </w:t>
      </w:r>
      <w:r w:rsidR="00FA0AE9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 </w:t>
      </w:r>
      <w:r w:rsidR="009B4CE0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ендотелієм</w:t>
      </w:r>
      <w:r w:rsidR="00052CBB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[7, 8, 10, 12]</w:t>
      </w:r>
      <w:r w:rsidR="009B4CE0"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A964A7" w:rsidRDefault="00722D0A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Ожирі</w:t>
      </w:r>
      <w:r w:rsidR="00A964A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ння, ЦД, АГ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супроводжуються виникненням оксидат</w:t>
      </w:r>
      <w:r w:rsidR="00FD005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ивного стресу </w:t>
      </w:r>
      <w:r w:rsidR="005924B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[2,</w:t>
      </w:r>
      <w:r w:rsidR="00FA0AE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5924B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4</w:t>
      </w:r>
      <w:r w:rsidR="005B6EF0" w:rsidRPr="005B6E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].</w:t>
      </w:r>
      <w:r w:rsidR="00FA0AE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65D7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За умов гіпоксії  акумуляція </w:t>
      </w:r>
      <w:r w:rsidR="00665D7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H</w:t>
      </w:r>
      <w:r w:rsidR="00665D70" w:rsidRPr="00FA0AE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  <w:lang w:val="uk-UA"/>
        </w:rPr>
        <w:t>2</w:t>
      </w:r>
      <w:r w:rsidR="00665D7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S</w:t>
      </w:r>
      <w:r w:rsidR="00665D7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в мозковій речовині допомагає відновити оксигеновий баланс через посилення кровоплину в нирках, зменшення енергетичних потреб для транспортування </w:t>
      </w:r>
      <w:r w:rsidR="00FA0AE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іонів натрію </w:t>
      </w:r>
      <w:r w:rsidR="00665D7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та інгібування</w:t>
      </w:r>
      <w:r w:rsidR="00FA0AE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65D7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мітохондр</w:t>
      </w:r>
      <w:r w:rsidR="0003726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і</w:t>
      </w:r>
      <w:r w:rsidR="00665D7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ального</w:t>
      </w:r>
      <w:r w:rsidR="00A964A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дихання</w:t>
      </w:r>
      <w:r w:rsidR="00052CBB" w:rsidRPr="00052CB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[10]</w:t>
      </w:r>
      <w:r w:rsidR="00A964A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. </w:t>
      </w:r>
      <w:r w:rsidR="00665D7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Натомість дефіцит сірководню може призвести до прогресування ураження нирок у хворих з супутніми </w:t>
      </w:r>
      <w:r w:rsidR="00665D70" w:rsidRPr="00FA0AE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патологіями</w:t>
      </w:r>
      <w:r w:rsidR="00BF73A5" w:rsidRPr="00FA0A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[</w:t>
      </w:r>
      <w:r w:rsidR="0077385D" w:rsidRPr="00FA0AE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7,</w:t>
      </w:r>
      <w:r w:rsidR="00FA0AE9" w:rsidRPr="00FA0AE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77385D" w:rsidRPr="00FA0AE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8</w:t>
      </w:r>
      <w:r w:rsidR="005B6EF0" w:rsidRPr="00FA0AE9">
        <w:rPr>
          <w:rFonts w:ascii="Times New Roman" w:eastAsia="Times New Roman" w:hAnsi="Times New Roman" w:cs="Times New Roman"/>
          <w:sz w:val="28"/>
          <w:shd w:val="clear" w:color="auto" w:fill="FFFFFF"/>
        </w:rPr>
        <w:t>]</w:t>
      </w:r>
      <w:r w:rsidR="00665D70" w:rsidRPr="00FA0AE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. </w:t>
      </w:r>
      <w:r w:rsidR="00BA27D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Відомо, що з</w:t>
      </w:r>
      <w:r w:rsidR="00BA27DF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ниження ендогенного H</w:t>
      </w:r>
      <w:r w:rsidR="00BA27DF" w:rsidRPr="00BA27D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="00BA27DF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S </w:t>
      </w:r>
      <w:r w:rsidR="00BA2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гальмує</w:t>
      </w:r>
      <w:r w:rsidR="00BA27DF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захисну в</w:t>
      </w:r>
      <w:r w:rsidR="00BA2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азодилятацію за умови підвищення АТ та провокує ушкодження нирок [</w:t>
      </w:r>
      <w:r w:rsidR="00BA27DF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7, 8-12].</w:t>
      </w:r>
      <w:r w:rsidR="00BA2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71793" w:rsidRPr="00FA0AE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Результати дослідження 2016 р., до якого були включені</w:t>
      </w:r>
      <w:r w:rsidR="0087179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1004 пацієнти на ЦД 2 типу, показали</w:t>
      </w:r>
      <w:r w:rsidR="00FA0AE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,</w:t>
      </w:r>
      <w:r w:rsidR="0087179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що висока концентрація Н</w:t>
      </w:r>
      <w:r w:rsidR="00871793" w:rsidRPr="00FA0AE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  <w:lang w:val="uk-UA"/>
        </w:rPr>
        <w:t>2</w:t>
      </w:r>
      <w:r w:rsidR="0087179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S</w:t>
      </w:r>
      <w:r w:rsidR="004702F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корелювала із низьким</w:t>
      </w:r>
      <w:r w:rsidR="0087179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ступенем протеїнурії </w:t>
      </w:r>
      <w:r w:rsidR="005B6E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[</w:t>
      </w:r>
      <w:r w:rsidR="005924B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11</w:t>
      </w:r>
      <w:r w:rsidR="00871793" w:rsidRPr="00665D7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].</w:t>
      </w:r>
      <w:r w:rsidR="00665D7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FA0AE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У</w:t>
      </w:r>
      <w:r w:rsidR="00665D7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дослідженні 2015 р. на мишах було продемонстровано, що</w:t>
      </w:r>
      <w:r w:rsidR="00FA0AE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0253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призначення донорів сульфгідрильних груп прискорювало відновлення нирок після ішемічного пошкодження</w:t>
      </w:r>
      <w:r w:rsidR="00FA0AE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[</w:t>
      </w:r>
      <w:r w:rsidR="005924B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9</w:t>
      </w:r>
      <w:r w:rsidR="0002536A" w:rsidRPr="004702F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].</w:t>
      </w:r>
      <w:r w:rsidR="00BA27DF" w:rsidRPr="00BA2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A964A7" w:rsidRDefault="00FA0AE9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Ймовірно</w:t>
      </w:r>
      <w:r w:rsidR="004702F1" w:rsidRPr="00182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2070" w:rsidRPr="00182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дисфункція нирок з’являється задовго </w:t>
      </w:r>
      <w:r w:rsidR="00FB05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 появи ЦД та АГ у хворих з МС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однак</w:t>
      </w:r>
      <w:r w:rsidR="005F2070" w:rsidRPr="00182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5F2070" w:rsidRPr="00182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еханізм 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5F2070" w:rsidRPr="00182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виникнення залиша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="005F2070" w:rsidRPr="00182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ться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</w:t>
      </w:r>
      <w:r w:rsidR="005F2070" w:rsidRPr="00182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кінця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з’</w:t>
      </w:r>
      <w:r w:rsidRPr="00FA0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ясованим,</w:t>
      </w:r>
      <w:r w:rsidR="005F2070" w:rsidRPr="00182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невідомо,</w:t>
      </w:r>
      <w:r w:rsidR="005F2070" w:rsidRPr="00182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 саме відіграє ключову роль у прогресуванні захворювання</w:t>
      </w:r>
      <w:r w:rsidR="005F2070" w:rsidRPr="005F2070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>.</w:t>
      </w:r>
    </w:p>
    <w:p w:rsidR="00FB67FB" w:rsidRPr="00FB67FB" w:rsidRDefault="0018218A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5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Мета</w:t>
      </w:r>
      <w:r w:rsidRP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FA0AE9" w:rsidRPr="008260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64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виявити ранні предиктори ураження нирок у хворих з метаболічним синдромом.</w:t>
      </w:r>
    </w:p>
    <w:p w:rsidR="00FA0AE9" w:rsidRDefault="00BD4749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5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Матеріали і методи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B869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B869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бстежено 70 пацієнтів</w:t>
      </w:r>
      <w:r w:rsidR="00C157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385A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 чоловіків і 50</w:t>
      </w:r>
      <w:r w:rsidR="00C157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жін</w:t>
      </w:r>
      <w:r w:rsidR="00385A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</w:t>
      </w:r>
      <w:r w:rsidR="00C157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B869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 МС. Діагноз МС в</w:t>
      </w:r>
      <w:r w:rsidR="001732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становлювався згідно критеріїв 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International</w:t>
      </w:r>
      <w:r w:rsidR="00FA0AE9" w:rsidRP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Diabetes</w:t>
      </w:r>
      <w:r w:rsidR="00FA0AE9" w:rsidRP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Federation</w:t>
      </w:r>
      <w:r w:rsidR="004D1B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(2015)</w:t>
      </w:r>
      <w:r w:rsidR="00B869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FA0AE9" w:rsidRP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B869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дослідження не 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включали</w:t>
      </w:r>
      <w:r w:rsidR="00B869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пацієнт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B869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ЦД 1 типу, систолічною дисфункцією лівого шлуночка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(ФВ&lt;</w:t>
      </w:r>
      <w:r w:rsidR="00F16FD3" w:rsidRPr="00F16F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45% 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B869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157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реноваскулярною 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АГ</w:t>
      </w:r>
      <w:r w:rsidR="00C157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захворюваннями гіпоталамо-гіпофізарної системи, щитовидної, прищитовидних та наднирникових залоз, системними захворюваннями сполучної тканини, захворюваннями сечостатевої системи та </w:t>
      </w:r>
      <w:r w:rsidR="00A964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онкологічними </w:t>
      </w:r>
      <w:r w:rsidR="00FB05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захворюваннями. </w:t>
      </w:r>
      <w:r w:rsidR="00C157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Усім 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хворим</w:t>
      </w:r>
      <w:r w:rsidR="00C157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C157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проведен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C157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</w:t>
      </w:r>
      <w:r w:rsidR="00BE7C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гальн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BE7C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клінічн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BE7C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обстеження із виявленням</w:t>
      </w:r>
      <w:r w:rsidR="00C157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скарг</w:t>
      </w:r>
      <w:r w:rsidR="00BE7C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анамнезу захворювання, пров</w:t>
      </w:r>
      <w:r w:rsidR="00901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еденням основних лабораторних (</w:t>
      </w:r>
      <w:r w:rsidR="00BE7C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загальний аналіз крові та сечі, глюкоза кр</w:t>
      </w:r>
      <w:r w:rsidR="004601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ові, біохімічний аналіз крові</w:t>
      </w:r>
      <w:r w:rsidR="00BE7C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ліп</w:t>
      </w:r>
      <w:r w:rsidR="00901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ідограма) та інструментальних (</w:t>
      </w:r>
      <w:r w:rsidR="00BE7C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електрокардіографія, ре</w:t>
      </w:r>
      <w:r w:rsidR="00901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BE7C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гтгенографія органів грудної клітки, ехокардіографія та ультразвукове обстеження внутрішніх органів) методів дослідження. </w:t>
      </w:r>
    </w:p>
    <w:p w:rsidR="00FA0AE9" w:rsidRDefault="00BE7C49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Додатково 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проводили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забір крові з вени для визначення рів</w:t>
      </w:r>
      <w:r w:rsidR="00FF63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сечової кислоти,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="00B37B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(метод Сумбаева В.В., Ясинскої І.М.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B37B4E" w:rsidRPr="00B37B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2000</w:t>
      </w:r>
      <w:r w:rsidR="00B37B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FA0AE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901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r w:rsidR="00592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901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Pr="00BE7C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також забір добової </w:t>
      </w:r>
      <w:r w:rsidR="005729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сечі для визначення рівня альбумінурії. </w:t>
      </w:r>
      <w:r w:rsidR="00767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</w:t>
      </w:r>
      <w:r w:rsidR="00406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видкість клубочкової фільтрації (Ш</w:t>
      </w:r>
      <w:r w:rsidR="00767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КФ</w:t>
      </w:r>
      <w:r w:rsidR="00406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67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розраховувалась за формулою </w:t>
      </w:r>
      <w:r w:rsidR="00767F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MDRD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67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 також за формулою 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Кокрофта-</w:t>
      </w:r>
      <w:r w:rsidR="00767F2A" w:rsidRPr="00767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Гаулта.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73F37" w:rsidRDefault="00864EBF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Ураження нирок оцінювали за ступенем альбумінурії</w:t>
      </w:r>
      <w:r w:rsidR="00573F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573F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American</w:t>
      </w:r>
      <w:r w:rsidR="00573F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73F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Diabetes</w:t>
      </w:r>
      <w:r w:rsidR="00573F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73F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Association</w:t>
      </w:r>
      <w:r w:rsidR="00573F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573F37" w:rsidRPr="00EF1E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2016)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у</w:t>
      </w:r>
      <w:r w:rsidR="00F16F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="00F16F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хвор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F16F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розподілили</w:t>
      </w:r>
      <w:r w:rsidR="00107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107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групи: 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І групи увійшли пацієнти з нормоальбумінурією (</w:t>
      </w:r>
      <w:r w:rsidR="00406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&lt;</w:t>
      </w:r>
      <w:r w:rsidR="00107F80" w:rsidRPr="00107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0,03 </w:t>
      </w:r>
      <w:r w:rsidR="00107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г/л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); до ІІ </w:t>
      </w:r>
      <w:r w:rsidR="00573F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групи </w:t>
      </w:r>
      <w:r w:rsidR="00FA0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107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73F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107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мікроальбумінурі</w:t>
      </w:r>
      <w:r w:rsidR="00573F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єю</w:t>
      </w:r>
      <w:r w:rsidR="006D2B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(МАУ)</w:t>
      </w:r>
      <w:r w:rsidR="00573F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0,03-</w:t>
      </w:r>
      <w:r w:rsidR="00107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0,3 г/л</w:t>
      </w:r>
      <w:r w:rsidR="00573F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до ІІІ групи – з </w:t>
      </w:r>
      <w:r w:rsidR="00107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макроальбумінурі</w:t>
      </w:r>
      <w:r w:rsidR="00573F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єю (</w:t>
      </w:r>
      <w:r w:rsidR="00107F80" w:rsidRPr="00107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&lt;</w:t>
      </w:r>
      <w:r w:rsidR="00107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0,3 г/л</w:t>
      </w:r>
      <w:r w:rsidR="00573F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406589" w:rsidRPr="000B2C2E" w:rsidRDefault="00481EB1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статичної обробки результатів розраховували показник кореляції Пірсона</w:t>
      </w:r>
      <w:r w:rsidR="00573F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F1E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573F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F1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EF1EEA" w:rsidRPr="00AA6F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6D2B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критерій Стьюдента.</w:t>
      </w:r>
    </w:p>
    <w:p w:rsidR="00826044" w:rsidRDefault="00481EB1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5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Результати</w:t>
      </w:r>
      <w:r w:rsidR="00573F37" w:rsidRPr="002D15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095845" w:rsidRPr="002D15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та обговорення</w:t>
      </w:r>
      <w:r w:rsidR="002D15B0" w:rsidRPr="002D15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73F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Середній вік хворих становив </w:t>
      </w:r>
      <w:r w:rsidR="008260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62,3±</w:t>
      </w:r>
      <w:r w:rsidR="00D577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10,4 р</w:t>
      </w:r>
      <w:r w:rsidR="008260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оків</w:t>
      </w:r>
      <w:r w:rsidR="00D577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260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058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334F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орм</w:t>
      </w:r>
      <w:r w:rsidR="00F058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оальбумінурія</w:t>
      </w:r>
      <w:r w:rsidR="00406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була виявлена у 18 пацієнтів (25,7%)</w:t>
      </w:r>
      <w:r w:rsidR="00F058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058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мікроальб</w:t>
      </w:r>
      <w:r w:rsidR="00406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умінурія </w:t>
      </w:r>
      <w:r w:rsidR="008260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406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35 пацієнтів (50,1%)</w:t>
      </w:r>
      <w:r w:rsidR="00F058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мак</w:t>
      </w:r>
      <w:r w:rsidR="00406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роальбумінурія </w:t>
      </w:r>
      <w:r w:rsidR="008260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406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17 пацієнтів (</w:t>
      </w:r>
      <w:r w:rsidR="00F058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24,2%). У таблиці 1 наведені дані </w:t>
      </w:r>
      <w:r w:rsidR="005D5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показників у 3 групах. </w:t>
      </w:r>
    </w:p>
    <w:p w:rsidR="003C57FF" w:rsidRDefault="00436E3D" w:rsidP="00924DDA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Пацієнти з ма</w:t>
      </w:r>
      <w:r w:rsidR="00DD42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кроальбумінурією</w:t>
      </w:r>
      <w:r w:rsidR="00A009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372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мали </w:t>
      </w:r>
      <w:r w:rsidR="008260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достовірно </w:t>
      </w:r>
      <w:r w:rsidR="000372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вищ</w:t>
      </w:r>
      <w:r w:rsidR="008260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0372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260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середнє значення </w:t>
      </w:r>
      <w:r w:rsidR="000372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індекс</w:t>
      </w:r>
      <w:r w:rsidR="008260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0372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маси тіла (І</w:t>
      </w:r>
      <w:r w:rsidR="00DD42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МТ</w:t>
      </w:r>
      <w:r w:rsidR="000372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DD42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ніж пацієнти з </w:t>
      </w:r>
      <w:r w:rsidR="006E5C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нормо</w:t>
      </w:r>
      <w:r w:rsidR="00DD42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альбумінурією</w:t>
      </w:r>
      <w:r w:rsidR="00A009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35,0±3,5</w:t>
      </w:r>
      <w:r w:rsidR="008260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кг/</w:t>
      </w:r>
      <w:r w:rsidR="00826044" w:rsidRPr="008260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826044" w:rsidRPr="0082604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="00826044" w:rsidRPr="008260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проти</w:t>
      </w:r>
      <w:r w:rsidR="0082604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 xml:space="preserve"> </w:t>
      </w:r>
      <w:r w:rsidR="006E5C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30,5</w:t>
      </w:r>
      <w:r w:rsidR="006D2B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3,8</w:t>
      </w:r>
      <w:r w:rsidR="003C57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009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кг/м</w:t>
      </w:r>
      <w:r w:rsidR="00A009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="008260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р&lt;</w:t>
      </w:r>
      <w:r w:rsidR="00826044" w:rsidRPr="00A009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0,05</w:t>
      </w:r>
      <w:r w:rsidR="00A009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A0095D" w:rsidRPr="00A009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Між 1 та 2</w:t>
      </w:r>
      <w:r w:rsidR="00A009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групами різниці </w:t>
      </w:r>
      <w:r w:rsidR="008260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стосовно ІМТ </w:t>
      </w:r>
      <w:r w:rsidR="00A009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виявлено. </w:t>
      </w:r>
      <w:r w:rsidR="003C57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Середнє значення о</w:t>
      </w:r>
      <w:r w:rsidR="000372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бв</w:t>
      </w:r>
      <w:r w:rsidR="003C57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0372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3C57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0372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талії </w:t>
      </w:r>
      <w:r w:rsid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(О</w:t>
      </w:r>
      <w:r w:rsidR="00056F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056F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</w:t>
      </w:r>
      <w:r w:rsidR="003C57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вищим у 2</w:t>
      </w:r>
      <w:r w:rsidR="00056F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порівняно з 1</w:t>
      </w:r>
      <w:r w:rsidR="003C57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групою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(103,3</w:t>
      </w:r>
      <w:r w:rsidR="006D2B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9,1</w:t>
      </w:r>
      <w:r w:rsidR="003C57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56F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</w:t>
      </w:r>
      <w:r w:rsidR="003C57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95,3</w:t>
      </w:r>
      <w:r w:rsidR="008E05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1,1</w:t>
      </w:r>
      <w:r w:rsidR="00C351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56F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</w:t>
      </w:r>
      <w:r w:rsidR="003C57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56F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&lt; 0,0</w:t>
      </w:r>
      <w:r w:rsidR="00056FC4" w:rsidRPr="005558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3C57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056FC4" w:rsidRPr="005558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3C57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056F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іж </w:t>
      </w:r>
      <w:r w:rsidR="003C57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хворими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056F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</w:t>
      </w:r>
      <w:r w:rsidR="00056F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</w:t>
      </w:r>
      <w:r w:rsidR="003C57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056F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C57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достовірної </w:t>
      </w:r>
      <w:r w:rsidR="00056F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різниці не </w:t>
      </w:r>
      <w:r w:rsidR="003C57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встановлено</w:t>
      </w:r>
      <w:r w:rsidR="00056F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5D4497" w:rsidRPr="00406589" w:rsidRDefault="00B400C2" w:rsidP="003C57FF">
      <w:pPr>
        <w:widowControl w:val="0"/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Табл</w:t>
      </w:r>
      <w:r w:rsidR="00FD00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иця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FD00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C57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Загальна характеристика хворих </w:t>
      </w:r>
      <w:r w:rsidR="003C57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дослідних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 </w:t>
      </w: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98"/>
        <w:gridCol w:w="2631"/>
        <w:gridCol w:w="2551"/>
        <w:gridCol w:w="2693"/>
      </w:tblGrid>
      <w:tr w:rsidR="00BA15CB" w:rsidRPr="00A0095D" w:rsidTr="003C57FF">
        <w:trPr>
          <w:trHeight w:val="709"/>
        </w:trPr>
        <w:tc>
          <w:tcPr>
            <w:tcW w:w="2898" w:type="dxa"/>
            <w:vAlign w:val="center"/>
          </w:tcPr>
          <w:p w:rsidR="00BA15CB" w:rsidRDefault="003C57FF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631" w:type="dxa"/>
            <w:vAlign w:val="center"/>
          </w:tcPr>
          <w:p w:rsidR="00692E06" w:rsidRPr="00A0095D" w:rsidRDefault="00BA15CB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Нормоальбумінурія</w:t>
            </w:r>
            <w:r w:rsidR="003C5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692E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="00692E06" w:rsidRPr="00A009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=18</w:t>
            </w:r>
            <w:r w:rsidR="003C5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692E06" w:rsidRPr="00A0095D" w:rsidRDefault="00BA15CB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Мікроальбумінурія</w:t>
            </w:r>
            <w:r w:rsidR="003C5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692E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="00692E06" w:rsidRPr="00A009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=35</w:t>
            </w:r>
            <w:r w:rsidR="003C5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vAlign w:val="center"/>
          </w:tcPr>
          <w:p w:rsidR="00692E06" w:rsidRPr="00A0095D" w:rsidRDefault="00BA15CB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Макроальбумінурія</w:t>
            </w:r>
            <w:r w:rsidR="003C5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692E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="00692E06" w:rsidRPr="00A009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=17</w:t>
            </w:r>
            <w:r w:rsidR="003C5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A15CB" w:rsidRPr="00A0095D" w:rsidTr="003C57FF">
        <w:tc>
          <w:tcPr>
            <w:tcW w:w="2898" w:type="dxa"/>
            <w:vAlign w:val="center"/>
          </w:tcPr>
          <w:p w:rsidR="00BA15CB" w:rsidRDefault="00BA15CB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Вік</w:t>
            </w:r>
            <w:r w:rsidR="0040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B56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роки)</w:t>
            </w:r>
          </w:p>
        </w:tc>
        <w:tc>
          <w:tcPr>
            <w:tcW w:w="2631" w:type="dxa"/>
            <w:vAlign w:val="center"/>
          </w:tcPr>
          <w:p w:rsidR="00BA15CB" w:rsidRDefault="00547EB8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63,1</w:t>
            </w:r>
            <w:r w:rsidR="003C5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 w:rsidR="002C3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9,1</w:t>
            </w:r>
          </w:p>
        </w:tc>
        <w:tc>
          <w:tcPr>
            <w:tcW w:w="2551" w:type="dxa"/>
            <w:vAlign w:val="center"/>
          </w:tcPr>
          <w:p w:rsidR="00BA15CB" w:rsidRDefault="00547EB8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61,0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2C3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,8</w:t>
            </w:r>
          </w:p>
        </w:tc>
        <w:tc>
          <w:tcPr>
            <w:tcW w:w="2693" w:type="dxa"/>
            <w:vAlign w:val="center"/>
          </w:tcPr>
          <w:p w:rsidR="00BA15CB" w:rsidRDefault="00547EB8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65,0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 w:rsidR="002C3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BA15CB" w:rsidTr="003C57FF">
        <w:tc>
          <w:tcPr>
            <w:tcW w:w="2898" w:type="dxa"/>
            <w:vAlign w:val="center"/>
          </w:tcPr>
          <w:p w:rsidR="00BA15CB" w:rsidRPr="00B56845" w:rsidRDefault="00BA15CB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ІМТ</w:t>
            </w:r>
            <w:r w:rsidR="0040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B56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кг/м</w:t>
            </w:r>
            <w:r w:rsidR="00B56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 w:rsidR="00B56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631" w:type="dxa"/>
            <w:vAlign w:val="center"/>
          </w:tcPr>
          <w:p w:rsidR="00BA15CB" w:rsidRDefault="00436E3D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30,5±3,8</w:t>
            </w:r>
            <w:r w:rsidR="002C3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vAlign w:val="center"/>
          </w:tcPr>
          <w:p w:rsidR="00BA15CB" w:rsidRDefault="002C343E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33,5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 w:rsidR="00436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6,5</w:t>
            </w:r>
          </w:p>
        </w:tc>
        <w:tc>
          <w:tcPr>
            <w:tcW w:w="2693" w:type="dxa"/>
            <w:vAlign w:val="center"/>
          </w:tcPr>
          <w:p w:rsidR="00BA15CB" w:rsidRDefault="002C343E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35,0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 w:rsidR="00436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3,5*</w:t>
            </w:r>
          </w:p>
        </w:tc>
      </w:tr>
      <w:tr w:rsidR="00BA15CB" w:rsidTr="003C57FF">
        <w:tc>
          <w:tcPr>
            <w:tcW w:w="2898" w:type="dxa"/>
            <w:vAlign w:val="center"/>
          </w:tcPr>
          <w:p w:rsidR="00BA15CB" w:rsidRDefault="00BA15CB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ОТ</w:t>
            </w:r>
            <w:r w:rsidR="00F92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692E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</w:t>
            </w:r>
            <w:r w:rsidR="00F92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631" w:type="dxa"/>
            <w:vAlign w:val="center"/>
          </w:tcPr>
          <w:p w:rsidR="00BA15CB" w:rsidRDefault="002C343E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95,3</w:t>
            </w:r>
            <w:r w:rsidR="003C5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5,1</w:t>
            </w:r>
            <w:r w:rsidR="0090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**</w:t>
            </w:r>
          </w:p>
        </w:tc>
        <w:tc>
          <w:tcPr>
            <w:tcW w:w="2551" w:type="dxa"/>
            <w:vAlign w:val="center"/>
          </w:tcPr>
          <w:p w:rsidR="00BA15CB" w:rsidRDefault="002C343E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103,3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9,1</w:t>
            </w:r>
            <w:r w:rsidR="0090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693" w:type="dxa"/>
            <w:vAlign w:val="center"/>
          </w:tcPr>
          <w:p w:rsidR="00BA15CB" w:rsidRDefault="002C343E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106,1</w:t>
            </w:r>
            <w:r w:rsidR="003C5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9,5</w:t>
            </w:r>
            <w:r w:rsidR="0090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</w:tr>
      <w:tr w:rsidR="00BA15CB" w:rsidTr="003C57FF">
        <w:tc>
          <w:tcPr>
            <w:tcW w:w="2898" w:type="dxa"/>
            <w:vAlign w:val="center"/>
          </w:tcPr>
          <w:p w:rsidR="00BA15CB" w:rsidRDefault="00BA15CB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САТ</w:t>
            </w:r>
            <w:r w:rsidR="00F92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692E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мм</w:t>
            </w:r>
            <w:r w:rsidR="003C5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2E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рт.</w:t>
            </w:r>
            <w:r w:rsidR="003C5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ст.</w:t>
            </w:r>
            <w:r w:rsidR="00F92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631" w:type="dxa"/>
            <w:vAlign w:val="center"/>
          </w:tcPr>
          <w:p w:rsidR="00BA15CB" w:rsidRDefault="003C57FF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153,0±</w:t>
            </w:r>
            <w:r w:rsidR="002C3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14,4</w:t>
            </w:r>
            <w:r w:rsidR="0090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**</w:t>
            </w:r>
          </w:p>
        </w:tc>
        <w:tc>
          <w:tcPr>
            <w:tcW w:w="2551" w:type="dxa"/>
            <w:vAlign w:val="center"/>
          </w:tcPr>
          <w:p w:rsidR="00BA15CB" w:rsidRDefault="007D12AA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163,4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 w:rsidR="002C3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17,5</w:t>
            </w:r>
            <w:r w:rsidR="0090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**</w:t>
            </w:r>
          </w:p>
        </w:tc>
        <w:tc>
          <w:tcPr>
            <w:tcW w:w="2693" w:type="dxa"/>
            <w:vAlign w:val="center"/>
          </w:tcPr>
          <w:p w:rsidR="00BA15CB" w:rsidRDefault="0082713A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171,7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 w:rsidR="002C3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19,6</w:t>
            </w:r>
            <w:r w:rsidR="0090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**</w:t>
            </w:r>
          </w:p>
        </w:tc>
      </w:tr>
      <w:tr w:rsidR="00BA15CB" w:rsidTr="003C57FF">
        <w:tc>
          <w:tcPr>
            <w:tcW w:w="2898" w:type="dxa"/>
            <w:vAlign w:val="center"/>
          </w:tcPr>
          <w:p w:rsidR="00BA15CB" w:rsidRDefault="00BA15CB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ДАТ</w:t>
            </w:r>
            <w:r w:rsidR="00F92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692E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мм</w:t>
            </w:r>
            <w:r w:rsidR="003C5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2E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рт.</w:t>
            </w:r>
            <w:r w:rsidR="003C5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ст.</w:t>
            </w:r>
            <w:r w:rsidR="00F92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631" w:type="dxa"/>
            <w:vAlign w:val="center"/>
          </w:tcPr>
          <w:p w:rsidR="00BA15CB" w:rsidRDefault="00B400C2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93,1</w:t>
            </w:r>
            <w:r w:rsidR="003C5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 w:rsidR="007E3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11,2</w:t>
            </w:r>
          </w:p>
        </w:tc>
        <w:tc>
          <w:tcPr>
            <w:tcW w:w="2551" w:type="dxa"/>
            <w:vAlign w:val="center"/>
          </w:tcPr>
          <w:p w:rsidR="00BA15CB" w:rsidRDefault="007D12AA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97,2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 w:rsidR="007E3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8,9*</w:t>
            </w:r>
          </w:p>
        </w:tc>
        <w:tc>
          <w:tcPr>
            <w:tcW w:w="2693" w:type="dxa"/>
            <w:vAlign w:val="center"/>
          </w:tcPr>
          <w:p w:rsidR="00BA15CB" w:rsidRDefault="007E31CD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105</w:t>
            </w:r>
            <w:r w:rsidR="00827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,1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 w:rsidR="00827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</w:tr>
      <w:tr w:rsidR="00BA15CB" w:rsidTr="003C57FF">
        <w:tc>
          <w:tcPr>
            <w:tcW w:w="2898" w:type="dxa"/>
            <w:vAlign w:val="center"/>
          </w:tcPr>
          <w:p w:rsidR="00BA15CB" w:rsidRDefault="00BA15CB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Холестерин</w:t>
            </w:r>
            <w:r w:rsidR="006D6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(ммоль/л)</w:t>
            </w:r>
          </w:p>
        </w:tc>
        <w:tc>
          <w:tcPr>
            <w:tcW w:w="2631" w:type="dxa"/>
            <w:vAlign w:val="center"/>
          </w:tcPr>
          <w:p w:rsidR="00BA15CB" w:rsidRDefault="003C57FF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5,9</w:t>
            </w:r>
            <w:r w:rsidR="00075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±1,3</w:t>
            </w:r>
          </w:p>
        </w:tc>
        <w:tc>
          <w:tcPr>
            <w:tcW w:w="2551" w:type="dxa"/>
            <w:vAlign w:val="center"/>
          </w:tcPr>
          <w:p w:rsidR="00BA15CB" w:rsidRDefault="007D12AA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5,4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 w:rsidR="00075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1,4</w:t>
            </w:r>
          </w:p>
        </w:tc>
        <w:tc>
          <w:tcPr>
            <w:tcW w:w="2693" w:type="dxa"/>
            <w:vAlign w:val="center"/>
          </w:tcPr>
          <w:p w:rsidR="00BA15CB" w:rsidRDefault="0082713A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5,3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 w:rsidR="00075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1,2</w:t>
            </w:r>
          </w:p>
        </w:tc>
      </w:tr>
      <w:tr w:rsidR="00BA15CB" w:rsidTr="003C57FF">
        <w:tc>
          <w:tcPr>
            <w:tcW w:w="2898" w:type="dxa"/>
            <w:vAlign w:val="center"/>
          </w:tcPr>
          <w:p w:rsidR="00BA15CB" w:rsidRDefault="00BA15CB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</w:t>
            </w:r>
            <w:r w:rsidR="006D6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ПВЩ (ммоль/л)</w:t>
            </w:r>
          </w:p>
        </w:tc>
        <w:tc>
          <w:tcPr>
            <w:tcW w:w="2631" w:type="dxa"/>
            <w:vAlign w:val="center"/>
          </w:tcPr>
          <w:p w:rsidR="00BA15CB" w:rsidRDefault="003C57FF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1,1±</w:t>
            </w:r>
            <w:r w:rsidR="00075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0,2</w:t>
            </w:r>
          </w:p>
        </w:tc>
        <w:tc>
          <w:tcPr>
            <w:tcW w:w="2551" w:type="dxa"/>
            <w:vAlign w:val="center"/>
          </w:tcPr>
          <w:p w:rsidR="00BA15CB" w:rsidRDefault="007D12AA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1,0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0,3</w:t>
            </w:r>
          </w:p>
        </w:tc>
        <w:tc>
          <w:tcPr>
            <w:tcW w:w="2693" w:type="dxa"/>
            <w:vAlign w:val="center"/>
          </w:tcPr>
          <w:p w:rsidR="00BA15CB" w:rsidRDefault="0082713A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1,0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0,3</w:t>
            </w:r>
          </w:p>
        </w:tc>
      </w:tr>
      <w:tr w:rsidR="00BA15CB" w:rsidTr="003C57FF">
        <w:tc>
          <w:tcPr>
            <w:tcW w:w="2898" w:type="dxa"/>
            <w:vAlign w:val="center"/>
          </w:tcPr>
          <w:p w:rsidR="00BA15CB" w:rsidRDefault="00BA15CB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</w:t>
            </w:r>
            <w:r w:rsidR="006D6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НЩ</w:t>
            </w:r>
            <w:r w:rsidR="006D6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(ммоль/л)</w:t>
            </w:r>
          </w:p>
        </w:tc>
        <w:tc>
          <w:tcPr>
            <w:tcW w:w="2631" w:type="dxa"/>
            <w:vAlign w:val="center"/>
          </w:tcPr>
          <w:p w:rsidR="00BA15CB" w:rsidRDefault="003C57FF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3,4</w:t>
            </w:r>
            <w:r w:rsidR="00B40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±1,3</w:t>
            </w:r>
          </w:p>
        </w:tc>
        <w:tc>
          <w:tcPr>
            <w:tcW w:w="2551" w:type="dxa"/>
            <w:vAlign w:val="center"/>
          </w:tcPr>
          <w:p w:rsidR="00BA15CB" w:rsidRDefault="007D12AA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2,8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1,2</w:t>
            </w:r>
          </w:p>
        </w:tc>
        <w:tc>
          <w:tcPr>
            <w:tcW w:w="2693" w:type="dxa"/>
            <w:vAlign w:val="center"/>
          </w:tcPr>
          <w:p w:rsidR="00BA15CB" w:rsidRDefault="0082713A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2,9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0,9</w:t>
            </w:r>
          </w:p>
        </w:tc>
      </w:tr>
      <w:tr w:rsidR="00BA15CB" w:rsidTr="003C57FF">
        <w:tc>
          <w:tcPr>
            <w:tcW w:w="2898" w:type="dxa"/>
            <w:vAlign w:val="center"/>
          </w:tcPr>
          <w:p w:rsidR="00BA15CB" w:rsidRDefault="00BA15CB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</w:t>
            </w:r>
            <w:r w:rsidR="006D6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ДНЩ</w:t>
            </w:r>
            <w:r w:rsidR="006D6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(ммоль/л)</w:t>
            </w:r>
          </w:p>
        </w:tc>
        <w:tc>
          <w:tcPr>
            <w:tcW w:w="2631" w:type="dxa"/>
            <w:vAlign w:val="center"/>
          </w:tcPr>
          <w:p w:rsidR="00BA15CB" w:rsidRDefault="00B400C2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0,9</w:t>
            </w:r>
            <w:r w:rsidR="00FD0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0,2</w:t>
            </w:r>
          </w:p>
        </w:tc>
        <w:tc>
          <w:tcPr>
            <w:tcW w:w="2551" w:type="dxa"/>
            <w:vAlign w:val="center"/>
          </w:tcPr>
          <w:p w:rsidR="00BA15CB" w:rsidRDefault="007D12AA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1,3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0,1</w:t>
            </w:r>
          </w:p>
        </w:tc>
        <w:tc>
          <w:tcPr>
            <w:tcW w:w="2693" w:type="dxa"/>
            <w:vAlign w:val="center"/>
          </w:tcPr>
          <w:p w:rsidR="00BA15CB" w:rsidRDefault="0082713A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1,3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0,3</w:t>
            </w:r>
          </w:p>
        </w:tc>
      </w:tr>
      <w:tr w:rsidR="00BA15CB" w:rsidTr="003C57FF">
        <w:tc>
          <w:tcPr>
            <w:tcW w:w="2898" w:type="dxa"/>
            <w:vAlign w:val="center"/>
          </w:tcPr>
          <w:p w:rsidR="00BA15CB" w:rsidRDefault="00BA15CB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ТГ</w:t>
            </w:r>
            <w:r w:rsidR="0040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6D6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ммоль/л)</w:t>
            </w:r>
          </w:p>
        </w:tc>
        <w:tc>
          <w:tcPr>
            <w:tcW w:w="2631" w:type="dxa"/>
            <w:vAlign w:val="center"/>
          </w:tcPr>
          <w:p w:rsidR="00BA15CB" w:rsidRDefault="00B400C2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2,2</w:t>
            </w:r>
            <w:r w:rsidR="00FD0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0,7</w:t>
            </w:r>
            <w:r w:rsidR="0090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vAlign w:val="center"/>
          </w:tcPr>
          <w:p w:rsidR="00BA15CB" w:rsidRDefault="007D12AA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2,7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 w:rsidR="004E4A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1,9</w:t>
            </w:r>
          </w:p>
        </w:tc>
        <w:tc>
          <w:tcPr>
            <w:tcW w:w="2693" w:type="dxa"/>
            <w:vAlign w:val="center"/>
          </w:tcPr>
          <w:p w:rsidR="00BA15CB" w:rsidRDefault="0082713A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2,8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 w:rsidR="004E4A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0,8</w:t>
            </w:r>
            <w:r w:rsidR="0090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</w:tr>
      <w:tr w:rsidR="00BA15CB" w:rsidTr="003C57FF">
        <w:tc>
          <w:tcPr>
            <w:tcW w:w="2898" w:type="dxa"/>
            <w:vAlign w:val="center"/>
          </w:tcPr>
          <w:p w:rsidR="00BA15CB" w:rsidRDefault="00BA15CB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ТГ/ЛПВЩ</w:t>
            </w:r>
            <w:r w:rsidR="006D6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(ммоль/л)</w:t>
            </w:r>
          </w:p>
        </w:tc>
        <w:tc>
          <w:tcPr>
            <w:tcW w:w="2631" w:type="dxa"/>
            <w:vAlign w:val="center"/>
          </w:tcPr>
          <w:p w:rsidR="00BA15CB" w:rsidRDefault="00B400C2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2,2</w:t>
            </w:r>
            <w:r w:rsidR="00FD0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0,1</w:t>
            </w:r>
            <w:r w:rsidR="0090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vAlign w:val="center"/>
          </w:tcPr>
          <w:p w:rsidR="00BA15CB" w:rsidRDefault="007D12AA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3,2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0,9</w:t>
            </w:r>
            <w:r w:rsidR="0090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693" w:type="dxa"/>
            <w:vAlign w:val="center"/>
          </w:tcPr>
          <w:p w:rsidR="00BA15CB" w:rsidRDefault="007D12AA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2,8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0,6</w:t>
            </w:r>
          </w:p>
        </w:tc>
      </w:tr>
      <w:tr w:rsidR="00BA15CB" w:rsidTr="003C57FF">
        <w:tc>
          <w:tcPr>
            <w:tcW w:w="2898" w:type="dxa"/>
            <w:vAlign w:val="center"/>
          </w:tcPr>
          <w:p w:rsidR="00BA15CB" w:rsidRDefault="00692E06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Глюкоза</w:t>
            </w:r>
            <w:r w:rsidR="0040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D57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ммоль/л)</w:t>
            </w:r>
          </w:p>
        </w:tc>
        <w:tc>
          <w:tcPr>
            <w:tcW w:w="2631" w:type="dxa"/>
            <w:vAlign w:val="center"/>
          </w:tcPr>
          <w:p w:rsidR="00BA15CB" w:rsidRDefault="00B400C2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7,5</w:t>
            </w:r>
            <w:r w:rsidR="00FD0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2,7</w:t>
            </w:r>
          </w:p>
        </w:tc>
        <w:tc>
          <w:tcPr>
            <w:tcW w:w="2551" w:type="dxa"/>
            <w:vAlign w:val="center"/>
          </w:tcPr>
          <w:p w:rsidR="00BA15CB" w:rsidRDefault="007D12AA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8,0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2,6</w:t>
            </w:r>
          </w:p>
        </w:tc>
        <w:tc>
          <w:tcPr>
            <w:tcW w:w="2693" w:type="dxa"/>
            <w:vAlign w:val="center"/>
          </w:tcPr>
          <w:p w:rsidR="00BA15CB" w:rsidRDefault="007D12AA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6,7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2,1</w:t>
            </w:r>
          </w:p>
        </w:tc>
      </w:tr>
      <w:tr w:rsidR="00692E06" w:rsidTr="003C57FF">
        <w:tc>
          <w:tcPr>
            <w:tcW w:w="2898" w:type="dxa"/>
            <w:vAlign w:val="center"/>
          </w:tcPr>
          <w:p w:rsidR="00692E06" w:rsidRPr="0082713A" w:rsidRDefault="00692E06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HbA1c</w:t>
            </w:r>
            <w:r w:rsidR="00827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2631" w:type="dxa"/>
            <w:vAlign w:val="center"/>
          </w:tcPr>
          <w:p w:rsidR="00692E06" w:rsidRDefault="00B400C2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6,0</w:t>
            </w:r>
            <w:r w:rsidR="00FD0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 w:rsidR="00601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0,7</w:t>
            </w:r>
          </w:p>
        </w:tc>
        <w:tc>
          <w:tcPr>
            <w:tcW w:w="2551" w:type="dxa"/>
            <w:vAlign w:val="center"/>
          </w:tcPr>
          <w:p w:rsidR="00692E06" w:rsidRDefault="007D12AA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6,8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 w:rsidR="00601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1,7</w:t>
            </w:r>
          </w:p>
        </w:tc>
        <w:tc>
          <w:tcPr>
            <w:tcW w:w="2693" w:type="dxa"/>
            <w:vAlign w:val="center"/>
          </w:tcPr>
          <w:p w:rsidR="00692E06" w:rsidRDefault="007D12AA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6,0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1,1</w:t>
            </w:r>
          </w:p>
        </w:tc>
      </w:tr>
      <w:tr w:rsidR="00692E06" w:rsidTr="003C57FF">
        <w:tc>
          <w:tcPr>
            <w:tcW w:w="2898" w:type="dxa"/>
            <w:vAlign w:val="center"/>
          </w:tcPr>
          <w:p w:rsidR="00692E06" w:rsidRPr="0082713A" w:rsidRDefault="00692E06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ШКФ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MDRD</w:t>
            </w:r>
            <w:r w:rsidRPr="00827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827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мл/хв/1,73м</w:t>
            </w:r>
            <w:r w:rsidR="00827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631" w:type="dxa"/>
            <w:vAlign w:val="center"/>
          </w:tcPr>
          <w:p w:rsidR="00692E06" w:rsidRDefault="00802217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64,9</w:t>
            </w:r>
            <w:r w:rsidR="00003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20,5</w:t>
            </w:r>
          </w:p>
        </w:tc>
        <w:tc>
          <w:tcPr>
            <w:tcW w:w="2551" w:type="dxa"/>
            <w:vAlign w:val="center"/>
          </w:tcPr>
          <w:p w:rsidR="00692E06" w:rsidRDefault="00802217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65,4</w:t>
            </w:r>
            <w:r w:rsidR="00003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14,5</w:t>
            </w:r>
          </w:p>
        </w:tc>
        <w:tc>
          <w:tcPr>
            <w:tcW w:w="2693" w:type="dxa"/>
            <w:vAlign w:val="center"/>
          </w:tcPr>
          <w:p w:rsidR="00692E06" w:rsidRDefault="00802217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61,7</w:t>
            </w:r>
            <w:r w:rsidR="00003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15,3</w:t>
            </w:r>
          </w:p>
        </w:tc>
      </w:tr>
      <w:tr w:rsidR="00692E06" w:rsidTr="003C57FF">
        <w:tc>
          <w:tcPr>
            <w:tcW w:w="2898" w:type="dxa"/>
            <w:vAlign w:val="center"/>
          </w:tcPr>
          <w:p w:rsidR="00692E06" w:rsidRPr="00692E06" w:rsidRDefault="00692E06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ШКФ (Кокрофт-</w:t>
            </w:r>
            <w:r w:rsidR="00827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Голт) мл/хв</w:t>
            </w:r>
          </w:p>
        </w:tc>
        <w:tc>
          <w:tcPr>
            <w:tcW w:w="2631" w:type="dxa"/>
            <w:vAlign w:val="center"/>
          </w:tcPr>
          <w:p w:rsidR="00692E06" w:rsidRDefault="00802217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89,1</w:t>
            </w:r>
            <w:r w:rsidR="00003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19,6</w:t>
            </w:r>
          </w:p>
        </w:tc>
        <w:tc>
          <w:tcPr>
            <w:tcW w:w="2551" w:type="dxa"/>
            <w:vAlign w:val="center"/>
          </w:tcPr>
          <w:p w:rsidR="00692E06" w:rsidRDefault="00802217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87,1</w:t>
            </w:r>
            <w:r w:rsidR="00003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26,1</w:t>
            </w:r>
          </w:p>
        </w:tc>
        <w:tc>
          <w:tcPr>
            <w:tcW w:w="2693" w:type="dxa"/>
            <w:vAlign w:val="center"/>
          </w:tcPr>
          <w:p w:rsidR="00692E06" w:rsidRDefault="00601403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78,9±</w:t>
            </w:r>
            <w:r w:rsidR="00003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24,1</w:t>
            </w:r>
          </w:p>
        </w:tc>
      </w:tr>
      <w:tr w:rsidR="00692E06" w:rsidTr="003C57FF">
        <w:tc>
          <w:tcPr>
            <w:tcW w:w="2898" w:type="dxa"/>
            <w:vAlign w:val="center"/>
          </w:tcPr>
          <w:p w:rsidR="00692E06" w:rsidRPr="0082713A" w:rsidRDefault="00692E06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</w:t>
            </w:r>
            <w:r w:rsidR="00827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µмоль</w:t>
            </w:r>
          </w:p>
        </w:tc>
        <w:tc>
          <w:tcPr>
            <w:tcW w:w="2631" w:type="dxa"/>
            <w:vAlign w:val="center"/>
          </w:tcPr>
          <w:p w:rsidR="00692E06" w:rsidRDefault="00B400C2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26,6</w:t>
            </w:r>
            <w:r w:rsidR="00FD0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 w:rsidR="00601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4,4</w:t>
            </w:r>
          </w:p>
        </w:tc>
        <w:tc>
          <w:tcPr>
            <w:tcW w:w="2551" w:type="dxa"/>
            <w:vAlign w:val="center"/>
          </w:tcPr>
          <w:p w:rsidR="00692E06" w:rsidRDefault="00B400C2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28,0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 w:rsidR="00601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3,0</w:t>
            </w:r>
          </w:p>
        </w:tc>
        <w:tc>
          <w:tcPr>
            <w:tcW w:w="2693" w:type="dxa"/>
            <w:vAlign w:val="center"/>
          </w:tcPr>
          <w:p w:rsidR="00692E06" w:rsidRDefault="007D12AA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26,4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 w:rsidR="00601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2,5</w:t>
            </w:r>
          </w:p>
        </w:tc>
      </w:tr>
      <w:tr w:rsidR="00692E06" w:rsidTr="003C57FF">
        <w:tc>
          <w:tcPr>
            <w:tcW w:w="2898" w:type="dxa"/>
            <w:vAlign w:val="center"/>
          </w:tcPr>
          <w:p w:rsidR="00692E06" w:rsidRPr="0082713A" w:rsidRDefault="00692E06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H</w:t>
            </w:r>
            <w:r w:rsidRPr="003C5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="00827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µмоль</w:t>
            </w:r>
          </w:p>
        </w:tc>
        <w:tc>
          <w:tcPr>
            <w:tcW w:w="2631" w:type="dxa"/>
            <w:vAlign w:val="center"/>
          </w:tcPr>
          <w:p w:rsidR="00692E06" w:rsidRDefault="00601403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66,3</w:t>
            </w:r>
            <w:r w:rsidR="00FD0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5,7</w:t>
            </w:r>
            <w:r w:rsidR="0090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vAlign w:val="center"/>
          </w:tcPr>
          <w:p w:rsidR="00692E06" w:rsidRDefault="00601403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62,2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7,9</w:t>
            </w:r>
            <w:r w:rsidR="0090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**</w:t>
            </w:r>
          </w:p>
        </w:tc>
        <w:tc>
          <w:tcPr>
            <w:tcW w:w="2693" w:type="dxa"/>
            <w:vAlign w:val="center"/>
          </w:tcPr>
          <w:p w:rsidR="00692E06" w:rsidRDefault="00601403" w:rsidP="003C57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57,4</w:t>
            </w:r>
            <w:r w:rsidR="0080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7,9</w:t>
            </w:r>
            <w:r w:rsidR="0090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**</w:t>
            </w:r>
          </w:p>
        </w:tc>
      </w:tr>
    </w:tbl>
    <w:p w:rsidR="001259B6" w:rsidRDefault="003C57FF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Примітка: </w:t>
      </w:r>
      <w:r w:rsidR="009056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*р</w:t>
      </w:r>
      <w:r w:rsidR="00436E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&lt;0,05; **p&lt;0,0</w:t>
      </w:r>
      <w:r w:rsidR="009056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</w:t>
      </w:r>
    </w:p>
    <w:p w:rsidR="00AE3666" w:rsidRDefault="00AE3666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837D9" w:rsidRDefault="003C57FF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Середнє значення САТ було вищим у пацієнтів з мікроальбумінурією, ніж у пацієнт</w:t>
      </w:r>
      <w:r w:rsidR="00436E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 з нормольбумінурією (163,3±17,5</w:t>
      </w:r>
      <w:r w:rsidR="000508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508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мм рт.ст. проти 153,3±</w:t>
      </w:r>
      <w:r w:rsidR="00436E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14,4 мм рт.ст., р&lt; 0,0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1). Середні показники ДАТ були вищими у 3 групі</w:t>
      </w:r>
      <w:r w:rsidR="00B83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порівняно з 2 групою </w:t>
      </w:r>
      <w:r w:rsidR="00436E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(105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,1±10,5</w:t>
      </w:r>
      <w:r w:rsidR="00B83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мм</w:t>
      </w:r>
      <w:r w:rsidR="00B83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рт.ст</w:t>
      </w:r>
      <w:r w:rsidR="00B83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проти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83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97,</w:t>
      </w:r>
      <w:r w:rsidR="00436E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2±8,9</w:t>
      </w:r>
      <w:r w:rsidR="00B83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мм</w:t>
      </w:r>
      <w:r w:rsidR="00B83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рт.ст.</w:t>
      </w:r>
      <w:r w:rsidR="00B83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proofErr w:type="gramEnd"/>
      <w:r w:rsidR="00436E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&lt; 0,0</w:t>
      </w:r>
      <w:r w:rsidRPr="00406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B83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406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3C57FF" w:rsidRDefault="003C57FF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Рівень </w:t>
      </w:r>
      <w:r w:rsidR="00B83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тригліцеридів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ТГ</w:t>
      </w:r>
      <w:r w:rsidR="00B83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був вищим у </w:t>
      </w:r>
      <w:r w:rsidR="00B83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пацієнтів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 груп</w:t>
      </w:r>
      <w:r w:rsidR="00B83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4E4A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(2,8±0,8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ммоль/л) у порівнянні з 2 (</w:t>
      </w:r>
      <w:r w:rsidR="00436E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2,7</w:t>
      </w:r>
      <w:r w:rsidR="004E4A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±1,9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ммоль/л); р</w:t>
      </w:r>
      <w:r w:rsidR="00B83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&lt;</w:t>
      </w:r>
      <w:r w:rsidRPr="00B83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0,05. </w:t>
      </w:r>
      <w:r w:rsidR="00B83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Концентрація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B837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B83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була достовірно вищою серед хворих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 груп</w:t>
      </w:r>
      <w:r w:rsidR="00B83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4E4A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(66,3±5,7 µмоль), ніж у 2 групі (62,2±7,9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E4A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µмоль) та у 3 групі (57,4±7,9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µмоль</w:t>
      </w:r>
      <w:r w:rsidR="00B83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5A7A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AAB" w:rsidRPr="004E4AAB" w:rsidRDefault="004E4AAB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Між показниками ліпідограми, ШКФ 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4E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дослідних групах різниці не було виявлено.</w:t>
      </w:r>
    </w:p>
    <w:p w:rsidR="00B837D9" w:rsidRDefault="00B837D9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Встановлено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помірний позитивний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кореляційний 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зв'язок між 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наченням САТ та МАУ (r=</w:t>
      </w:r>
      <w:r w:rsidR="001259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0,3804; 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p&lt;0,01). Натомість між значеннями H</w:t>
      </w:r>
      <w:r w:rsidR="000166D3" w:rsidRPr="00B837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 та МАУ виявився п</w:t>
      </w:r>
      <w:r w:rsidR="001259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омірний негативний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кореляційний </w:t>
      </w:r>
      <w:r w:rsidR="001259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зв'язок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r=</w:t>
      </w:r>
      <w:r w:rsidR="001259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-0,3404; p&lt;0,01)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259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Такий же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встановлен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між САТ та H</w:t>
      </w:r>
      <w:r w:rsidR="000166D3" w:rsidRPr="00B837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(r=</w:t>
      </w:r>
      <w:r w:rsidR="001259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-0,4443; p&lt;0,01)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(рис.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1). </w:t>
      </w:r>
    </w:p>
    <w:p w:rsidR="000166D3" w:rsidRPr="001259B6" w:rsidRDefault="00B837D9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Таким чином,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діагностовано </w:t>
      </w:r>
      <w:r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ення</w:t>
      </w:r>
      <w:r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 H</w:t>
      </w:r>
      <w:r w:rsidRPr="00B837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 в крові, що ймовірно призводить</w:t>
      </w:r>
      <w:r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зростання САТ,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у свою чергу 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збільшує ступінь МАУ</w:t>
      </w:r>
      <w:r w:rsidR="001259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945BD" w:rsidRDefault="00867DA6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>
            <wp:extent cx="5475889" cy="320565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45BD" w:rsidRPr="00BA27DF" w:rsidRDefault="00C945BD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2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Рис</w:t>
      </w:r>
      <w:r w:rsidR="00BA2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унок </w:t>
      </w:r>
      <w:r w:rsidRPr="00BA2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BA2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BA2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Взаємозв’язок між МАУ та рівнем </w:t>
      </w:r>
      <w:r w:rsidRPr="00BA27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BA27D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BA27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BA2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A27DF" w:rsidRDefault="00BA27DF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166D3" w:rsidRPr="000166D3" w:rsidRDefault="00BA27DF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Проаналізувавши вище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вказані результати, можна сказати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із всіх компонентів метаболічного синдрому підвищ</w:t>
      </w:r>
      <w:r w:rsidR="001732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ення САТ є найбільшим фактором 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ураження нирок. Різниця даного показника між групою мікроальбумінурії та нормоальбумінурії свідчить п</w:t>
      </w:r>
      <w:r w:rsidR="001259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 те, що навіть незначні колива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АТ призводять до порушення функції нирок</w:t>
      </w:r>
      <w:r w:rsidR="001259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Зв'язок між H</w:t>
      </w:r>
      <w:r w:rsidR="001259B6" w:rsidRPr="00BA27D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="001259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МАУ та САТ доводить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патогенезі цих порушень може мати місце ендотеліальн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="001259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дисфункці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Результати отримані у проведеному нами дослідженні співпадають із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літературними повідомленнями, у яких вказано, що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низька концентрація H</w:t>
      </w:r>
      <w:r w:rsidR="000166D3" w:rsidRPr="00BA27D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="000166D3"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 корелювала із високим ступенем протеїнурії [11].</w:t>
      </w:r>
    </w:p>
    <w:p w:rsidR="00D83A8F" w:rsidRPr="00406AC4" w:rsidRDefault="00D83A8F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9B6" w:rsidRPr="001259B6" w:rsidRDefault="000166D3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5080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Перспективи подальших досліджень</w:t>
      </w:r>
      <w:r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наступні роботи будуть </w:t>
      </w:r>
      <w:r w:rsidR="00F47C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спрямовані на розробку</w:t>
      </w:r>
      <w:r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</w:t>
      </w:r>
      <w:r w:rsidR="00F47C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офілактичних заходів ранніх уражень нирок, зниження альбумінурії</w:t>
      </w:r>
      <w:r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АТ шляхом призначення донорів сульфгідрильних груп або препаратів</w:t>
      </w:r>
      <w:r w:rsidR="00F47C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підвищують рівень ендогенного H</w:t>
      </w:r>
      <w:r w:rsidRPr="00F47C4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 у хворих з МС.</w:t>
      </w:r>
    </w:p>
    <w:p w:rsidR="00D83A8F" w:rsidRPr="00406AC4" w:rsidRDefault="00D83A8F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A8F" w:rsidRPr="002B078B" w:rsidRDefault="00C945BD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5080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Висновки</w:t>
      </w:r>
      <w:r w:rsidRPr="001259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C945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E4A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ми виявили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достовірне зниження рівня гідроген сульфіду до 57,4±7,9 µмоль у хворих з метаболічним синдромом. Це може бути </w:t>
      </w:r>
      <w:r w:rsidRPr="00C945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раннім предиктором ураження нирок. </w:t>
      </w:r>
    </w:p>
    <w:p w:rsidR="00D83A8F" w:rsidRPr="002B078B" w:rsidRDefault="00D83A8F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018B" w:rsidRPr="00AC23FC" w:rsidRDefault="00AC23FC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83A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Список літератури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:rsidR="0058018B" w:rsidRPr="0058018B" w:rsidRDefault="0058018B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Визначення вмісту гідрогенсульфіду в сироватці крові</w:t>
      </w:r>
      <w:r w:rsidR="00050808" w:rsidRPr="000508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r w:rsidR="00050808" w:rsidRPr="000508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53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Н.В.Заїчко, Н.О. Пентюк, Л.О. та ін. //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Вісник н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аукових досліджень.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2009.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553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Т.1 № 54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С. 29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32. </w:t>
      </w:r>
    </w:p>
    <w:p w:rsidR="0058018B" w:rsidRPr="0058018B" w:rsidRDefault="0058018B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Коваленко В.М. Метаболічний синдром: механізми розвитку, значення як фактора серцево-судинного риз</w:t>
      </w:r>
      <w:r w:rsidR="00553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ику, принципи діагностики та </w:t>
      </w:r>
      <w:r w:rsidR="00406A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лікування </w:t>
      </w:r>
      <w:r w:rsidR="00553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В.М. Коваленко, Т.В. Талаєва, А.С. // Український к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ардіологічний журнал.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2012.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553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5.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С.81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85.</w:t>
      </w:r>
    </w:p>
    <w:p w:rsidR="0058018B" w:rsidRPr="0058018B" w:rsidRDefault="0058018B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3.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Майко О.В. Рання діагностика хронічної ниркової</w:t>
      </w:r>
      <w:r w:rsidR="00553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недостатності./ Майко О.В. //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Вісник Вінницького національного медичного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університету.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2015.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553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Т. 19 № 1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С.263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AE5351" w:rsidRPr="004B77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265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8018B" w:rsidRPr="0058018B" w:rsidRDefault="0058018B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Метаболічний синдром та серцево-судинний ризик: сучасний погляд </w:t>
      </w:r>
      <w:r w:rsidR="00706C85" w:rsidRP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проблему</w:t>
      </w:r>
      <w:r w:rsidR="0055311A" w:rsidRP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[Електронний ресурс</w:t>
      </w:r>
      <w:r w:rsidR="00706C85" w:rsidRP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] </w:t>
      </w:r>
      <w:r w:rsidR="00665CE6" w:rsidRP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 І.М.Гідзинська, </w:t>
      </w:r>
      <w:r w:rsidR="0055311A" w:rsidRP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Г.З.Мороз, Т.С.Ласиця</w:t>
      </w:r>
      <w:r w:rsidRP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</w:t>
      </w:r>
      <w:r w:rsidR="0055311A" w:rsidRP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82DB9" w:rsidRP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// Aртеріальна гіпертензія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55311A" w:rsidRP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06C85" w:rsidRP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Режим доступу: http://www.mif-ua.com/archive/article/28854</w:t>
      </w:r>
      <w:r w:rsidR="004D16C7" w:rsidRP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8018B" w:rsidRPr="0058018B" w:rsidRDefault="0058018B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Chronic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kidney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disease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 US adults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with</w:t>
      </w:r>
      <w:r w:rsidR="000508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type 2 diabetes: an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update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national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estimate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prevalence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based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on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KidneyDisease: Improving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Global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="004D16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utcomes (KDIGO) staging. / R. A. Bailey, Y. Wang, V. Zhu et.al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// BMC Res</w:t>
      </w:r>
      <w:r w:rsidR="004D16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Notes.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2014.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Vol. 2 №7.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C267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4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08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C26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415</w:t>
      </w:r>
      <w:r w:rsidR="004D16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8018B" w:rsidRPr="0058018B" w:rsidRDefault="0058018B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Adipose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Tissue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Immune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33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Response: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Novel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Triggers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Consequences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fo</w:t>
      </w:r>
      <w:r w:rsidR="00B33F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Chronic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Inflammatory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33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Conditions. / G. Ghigliotti, C. Barisione, S.</w:t>
      </w:r>
      <w:r w:rsidR="004A5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Garibaldi. // Inflammation.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2014.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4A5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Vol. 37№4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P. 1337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AE5351" w:rsidRP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53. </w:t>
      </w:r>
    </w:p>
    <w:p w:rsidR="0058018B" w:rsidRPr="0058018B" w:rsidRDefault="0058018B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Beltowski J. Hydrogen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sulfide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pharmacology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medicine</w:t>
      </w:r>
      <w:r w:rsidR="00D13A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Anupdate.</w:t>
      </w:r>
      <w:r w:rsidR="004A5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 J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Beltowski // Pharmacol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Rep .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2015.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Vol. 67 № 3.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4A5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P. 647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E778ED" w:rsidRP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58. </w:t>
      </w:r>
    </w:p>
    <w:p w:rsidR="0058018B" w:rsidRPr="0058018B" w:rsidRDefault="0058018B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Bełtowski J. Hypoxia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Renal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Medulla: Implications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for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Hydrogen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Sulfide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Signaling / J. Bełtowski // Pharmacol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Exp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Ther.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2010.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D13A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Vol. 334 № 2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P. 358-</w:t>
      </w:r>
      <w:r w:rsidR="00E778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63. </w:t>
      </w:r>
    </w:p>
    <w:p w:rsidR="0058018B" w:rsidRPr="0058018B" w:rsidRDefault="000166D3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Combined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effect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hydrogen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sulphide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donor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losartan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experimental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diabetic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nephropathy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rats. // M. </w:t>
      </w:r>
      <w:r w:rsidR="00D078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Kaur M, S. Sachdeva , O. Bedi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et</w:t>
      </w:r>
      <w:r w:rsidR="00D078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al. //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J DiabetesMetab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Disord.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2015. Vol. 22.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P.4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4E04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</w:t>
      </w:r>
    </w:p>
    <w:p w:rsidR="0058018B" w:rsidRPr="0058018B" w:rsidRDefault="00D07811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Flannigan K. L.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Hydrogensulfide-based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anti-inflammatory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chemopreventive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therapies: an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experimental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approach. / K.L.F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lannigan, J.L.Wallace //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Curr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Pharm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Des.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2015.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Vol. 21 № 21.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P. 3012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E778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22. </w:t>
      </w:r>
    </w:p>
    <w:p w:rsidR="0058018B" w:rsidRPr="0058018B" w:rsidRDefault="00AA6F67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11.</w:t>
      </w:r>
      <w:r w:rsid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High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urinary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sulfate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concentration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associated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with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reduced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risk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renal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disease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progression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type 2 diabetes. / J.C. Vanden</w:t>
      </w:r>
      <w:r w:rsidR="00D078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Born , </w:t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A.R. Frenay , S.J.</w:t>
      </w:r>
      <w:r w:rsidR="00D078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 al</w:t>
      </w:r>
      <w:r w:rsidR="00D078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// NitricOxide.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2016.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078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Vol. </w:t>
      </w:r>
      <w:r w:rsidR="00D07811" w:rsidRPr="000B2C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P.55</w:t>
      </w:r>
      <w:r w:rsidR="007323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58018B"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56.</w:t>
      </w:r>
    </w:p>
    <w:p w:rsidR="0058018B" w:rsidRPr="0058018B" w:rsidRDefault="0058018B" w:rsidP="00F6207E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Nagpure</w:t>
      </w:r>
      <w:r w:rsidR="00016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B.V.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Interaction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Hydrogen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Sulfide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with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nitric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Oxide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Cardiovascular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system</w:t>
      </w:r>
      <w:r w:rsidR="00A134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/ B.V.Nagpure , J.S.Bian // 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OxidMedCellLongev. 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2016.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Vol.2016.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Р. 1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A134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16.</w:t>
      </w:r>
    </w:p>
    <w:p w:rsidR="0058018B" w:rsidRPr="0058018B" w:rsidRDefault="0058018B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Nashar.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K. Relationship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between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chronic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kidney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disease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metabolic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syndrome: current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134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perspectives ./ K. Nashar, B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.Egan. // DiabetesMetabSyndr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Obes. 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2014. 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A134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Vol. 18 № 7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P.421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E778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35. </w:t>
      </w:r>
    </w:p>
    <w:p w:rsidR="0058018B" w:rsidRPr="0058018B" w:rsidRDefault="0058018B" w:rsidP="00924D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14.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Prasad G.V . Metabolic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syndrome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chronic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kidney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disease: Current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status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future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direc</w:t>
      </w:r>
      <w:r w:rsidR="00B505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tions. / Prasad G.V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// World J Nephrol. 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2016.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B505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Vol.3 № 4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P.210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E778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="00B505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19.</w:t>
      </w:r>
    </w:p>
    <w:p w:rsidR="00BD4749" w:rsidRDefault="0058018B" w:rsidP="002B0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15.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Targeting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Hypertension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Patients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With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Cardio-Renal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Metabolic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505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Syndrome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505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 E. Rojas, M.Velasco, V. Bermúdez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et</w:t>
      </w:r>
      <w:r w:rsidR="00B505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al. </w:t>
      </w:r>
      <w:r w:rsidRPr="00580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// CurrHypertens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Rep. 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2012 Oct. 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B505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Vol 14 № 5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P. 397</w:t>
      </w:r>
      <w:r w:rsidR="00F6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="002B07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402.</w:t>
      </w:r>
    </w:p>
    <w:p w:rsidR="00D73B52" w:rsidRDefault="00D73B52" w:rsidP="002B0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3B52" w:rsidRDefault="00D73B52" w:rsidP="002B0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3B52" w:rsidRDefault="00D73B52" w:rsidP="002B0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3B52" w:rsidRDefault="00D73B52" w:rsidP="002B0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3B52" w:rsidRDefault="00D73B52" w:rsidP="002B0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3B52" w:rsidRDefault="00D73B52" w:rsidP="002B0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3B52" w:rsidRDefault="00D73B52" w:rsidP="002B0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3B52" w:rsidRDefault="00D73B52" w:rsidP="002B0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3B52" w:rsidRDefault="00D73B52" w:rsidP="002B0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3B52" w:rsidRDefault="00D73B52" w:rsidP="002B0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3B52" w:rsidRDefault="00D73B52" w:rsidP="002B0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3B52" w:rsidRDefault="00D73B52" w:rsidP="002B0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3B52" w:rsidRDefault="00D73B52" w:rsidP="002B0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3B52" w:rsidRDefault="00D73B52" w:rsidP="002B0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3B52" w:rsidRDefault="00D73B52" w:rsidP="002B0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3B52" w:rsidRDefault="00D73B52" w:rsidP="002B0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3B52" w:rsidRDefault="00D73B52" w:rsidP="002B0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3B52" w:rsidRDefault="00D73B52" w:rsidP="002B0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F510B" w:rsidRDefault="00FF510B" w:rsidP="00013563">
      <w:pPr>
        <w:tabs>
          <w:tab w:val="left" w:pos="9639"/>
        </w:tabs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Kutsyk D., Sklyarov E.</w:t>
      </w:r>
    </w:p>
    <w:p w:rsidR="00FF510B" w:rsidRDefault="00FF510B" w:rsidP="00013563">
      <w:pPr>
        <w:tabs>
          <w:tab w:val="left" w:pos="9639"/>
        </w:tabs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Danylo Halytsky Lviv National Medical University</w:t>
      </w:r>
    </w:p>
    <w:p w:rsidR="00FF510B" w:rsidRDefault="00FF510B" w:rsidP="00013563">
      <w:pPr>
        <w:tabs>
          <w:tab w:val="left" w:pos="9639"/>
        </w:tabs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Predictors of kidney impairment in patients with metabolic syndrome.</w:t>
      </w:r>
      <w:proofErr w:type="gramEnd"/>
    </w:p>
    <w:p w:rsidR="00FF510B" w:rsidRDefault="00FF510B" w:rsidP="00013563">
      <w:pPr>
        <w:tabs>
          <w:tab w:val="left" w:pos="9639"/>
        </w:tabs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Department of therapy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1 and medical diagnostics of FPGE</w:t>
      </w:r>
    </w:p>
    <w:p w:rsidR="00FF510B" w:rsidRDefault="00FF510B" w:rsidP="00013563">
      <w:pPr>
        <w:tabs>
          <w:tab w:val="left" w:pos="9639"/>
        </w:tabs>
        <w:spacing w:after="0" w:line="360" w:lineRule="auto"/>
        <w:ind w:left="-426" w:right="284"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 words: metabolic syndrome, kidney impairment, hydrogen sulfide, microalbuminuria.</w:t>
      </w:r>
    </w:p>
    <w:p w:rsidR="00FF510B" w:rsidRDefault="00FF510B" w:rsidP="00013563">
      <w:pPr>
        <w:tabs>
          <w:tab w:val="left" w:pos="9639"/>
        </w:tabs>
        <w:spacing w:after="0" w:line="360" w:lineRule="auto"/>
        <w:ind w:left="-426" w:right="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510B" w:rsidRDefault="00FF510B" w:rsidP="00013563">
      <w:pPr>
        <w:tabs>
          <w:tab w:val="left" w:pos="9639"/>
        </w:tabs>
        <w:spacing w:after="0" w:line="360" w:lineRule="auto"/>
        <w:ind w:left="-426" w:right="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3D3E">
        <w:rPr>
          <w:rFonts w:ascii="Times New Roman" w:hAnsi="Times New Roman" w:cs="Times New Roman"/>
          <w:b/>
          <w:sz w:val="28"/>
          <w:szCs w:val="28"/>
          <w:lang w:val="en-US"/>
        </w:rPr>
        <w:t>Introduction</w:t>
      </w:r>
      <w:r>
        <w:rPr>
          <w:rFonts w:ascii="Times New Roman" w:hAnsi="Times New Roman" w:cs="Times New Roman"/>
          <w:sz w:val="28"/>
          <w:szCs w:val="28"/>
          <w:lang w:val="en-US"/>
        </w:rPr>
        <w:t>: metabolic syndrome is the epidemy of XXI century. Each of the components of metabolic syndrome (arterial hypertension, hyperglycemia or dyslipidemia) can cause kidney impairment. But it remains unknown what plays a key role in the progression of the disease.</w:t>
      </w:r>
    </w:p>
    <w:p w:rsidR="00FF510B" w:rsidRPr="003E3562" w:rsidRDefault="00FF510B" w:rsidP="00013563">
      <w:pPr>
        <w:tabs>
          <w:tab w:val="left" w:pos="9639"/>
        </w:tabs>
        <w:spacing w:after="0" w:line="360" w:lineRule="auto"/>
        <w:ind w:left="-426" w:right="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3D3E">
        <w:rPr>
          <w:rFonts w:ascii="Times New Roman" w:hAnsi="Times New Roman" w:cs="Times New Roman"/>
          <w:b/>
          <w:sz w:val="28"/>
          <w:szCs w:val="28"/>
          <w:lang w:val="uk-UA"/>
        </w:rPr>
        <w:t>Aim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3464">
        <w:rPr>
          <w:rFonts w:ascii="Times New Roman" w:hAnsi="Times New Roman" w:cs="Times New Roman"/>
          <w:sz w:val="28"/>
          <w:szCs w:val="28"/>
          <w:lang w:val="uk-UA"/>
        </w:rPr>
        <w:t>o reveal early detectors of kidney impairment in patients with metabolic syndrome.</w:t>
      </w:r>
    </w:p>
    <w:p w:rsidR="00FF510B" w:rsidRDefault="00FF510B" w:rsidP="00013563">
      <w:pPr>
        <w:tabs>
          <w:tab w:val="left" w:pos="9639"/>
        </w:tabs>
        <w:spacing w:after="0" w:line="360" w:lineRule="auto"/>
        <w:ind w:left="-426" w:right="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3D3E">
        <w:rPr>
          <w:rFonts w:ascii="Times New Roman" w:hAnsi="Times New Roman" w:cs="Times New Roman"/>
          <w:b/>
          <w:sz w:val="28"/>
          <w:szCs w:val="28"/>
          <w:lang w:val="uk-UA"/>
        </w:rPr>
        <w:t>Material</w:t>
      </w:r>
      <w:r w:rsidRPr="00D73D3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73D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and Methods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nvestigation in</w:t>
      </w:r>
      <w:r>
        <w:rPr>
          <w:rFonts w:ascii="Times New Roman" w:hAnsi="Times New Roman" w:cs="Times New Roman"/>
          <w:sz w:val="28"/>
          <w:szCs w:val="28"/>
          <w:lang w:val="en-US"/>
        </w:rPr>
        <w:t>volved</w:t>
      </w:r>
      <w:r w:rsidRPr="00433464">
        <w:rPr>
          <w:rFonts w:ascii="Times New Roman" w:hAnsi="Times New Roman" w:cs="Times New Roman"/>
          <w:sz w:val="28"/>
          <w:szCs w:val="28"/>
          <w:lang w:val="uk-UA"/>
        </w:rPr>
        <w:t xml:space="preserve"> 70 patients with metabolic syndrome. Exept standard physical, laboratory and instrumental examination, additional blood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samples for hydrogen sulfide and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itrogen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>onooxide were taken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>s well as</w:t>
      </w:r>
      <w:r w:rsidRPr="00433464">
        <w:rPr>
          <w:rFonts w:ascii="Times New Roman" w:hAnsi="Times New Roman" w:cs="Times New Roman"/>
          <w:sz w:val="28"/>
          <w:szCs w:val="28"/>
          <w:lang w:val="uk-UA"/>
        </w:rPr>
        <w:t xml:space="preserve"> urine s</w:t>
      </w:r>
      <w:r>
        <w:rPr>
          <w:rFonts w:ascii="Times New Roman" w:hAnsi="Times New Roman" w:cs="Times New Roman"/>
          <w:sz w:val="28"/>
          <w:szCs w:val="28"/>
          <w:lang w:val="uk-UA"/>
        </w:rPr>
        <w:t>ample for microalbuminuria</w:t>
      </w:r>
      <w:r w:rsidRPr="00433464">
        <w:rPr>
          <w:rFonts w:ascii="Times New Roman" w:hAnsi="Times New Roman" w:cs="Times New Roman"/>
          <w:sz w:val="28"/>
          <w:szCs w:val="28"/>
          <w:lang w:val="uk-UA"/>
        </w:rPr>
        <w:t>. All patients were divided into 3 groups: normoalbuminuria, microalb</w:t>
      </w:r>
      <w:r>
        <w:rPr>
          <w:rFonts w:ascii="Times New Roman" w:hAnsi="Times New Roman" w:cs="Times New Roman"/>
          <w:sz w:val="28"/>
          <w:szCs w:val="28"/>
          <w:lang w:val="uk-UA"/>
        </w:rPr>
        <w:t>uminuria and macroalbuminuria. Contin</w:t>
      </w:r>
      <w:r w:rsidRPr="00433464">
        <w:rPr>
          <w:rFonts w:ascii="Times New Roman" w:hAnsi="Times New Roman" w:cs="Times New Roman"/>
          <w:sz w:val="28"/>
          <w:szCs w:val="28"/>
          <w:lang w:val="uk-UA"/>
        </w:rPr>
        <w:t>ous characteristics were represented using means and st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andard deviations. Independent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3464">
        <w:rPr>
          <w:rFonts w:ascii="Times New Roman" w:hAnsi="Times New Roman" w:cs="Times New Roman"/>
          <w:sz w:val="28"/>
          <w:szCs w:val="28"/>
          <w:lang w:val="uk-UA"/>
        </w:rPr>
        <w:t>tudent t-test was used to compare differences between the different groups. Pearson correlation coeffici</w:t>
      </w:r>
      <w:r>
        <w:rPr>
          <w:rFonts w:ascii="Times New Roman" w:hAnsi="Times New Roman" w:cs="Times New Roman"/>
          <w:sz w:val="28"/>
          <w:szCs w:val="28"/>
          <w:lang w:val="uk-UA"/>
        </w:rPr>
        <w:t>ent (r) was used for calculati</w:t>
      </w:r>
      <w:r>
        <w:rPr>
          <w:rFonts w:ascii="Times New Roman" w:hAnsi="Times New Roman" w:cs="Times New Roman"/>
          <w:sz w:val="28"/>
          <w:szCs w:val="28"/>
          <w:lang w:val="en-US"/>
        </w:rPr>
        <w:t>on of</w:t>
      </w:r>
      <w:r w:rsidRPr="00433464">
        <w:rPr>
          <w:rFonts w:ascii="Times New Roman" w:hAnsi="Times New Roman" w:cs="Times New Roman"/>
          <w:sz w:val="28"/>
          <w:szCs w:val="28"/>
          <w:lang w:val="uk-UA"/>
        </w:rPr>
        <w:t xml:space="preserve"> different correlations.</w:t>
      </w:r>
    </w:p>
    <w:p w:rsidR="00FF510B" w:rsidRPr="00433464" w:rsidRDefault="00FF510B" w:rsidP="00013563">
      <w:pPr>
        <w:tabs>
          <w:tab w:val="left" w:pos="9639"/>
        </w:tabs>
        <w:spacing w:after="0" w:line="360" w:lineRule="auto"/>
        <w:ind w:left="-426" w:right="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D3E">
        <w:rPr>
          <w:rFonts w:ascii="Times New Roman" w:hAnsi="Times New Roman" w:cs="Times New Roman"/>
          <w:b/>
          <w:sz w:val="28"/>
          <w:szCs w:val="28"/>
          <w:lang w:val="en-US"/>
        </w:rPr>
        <w:t>Results</w:t>
      </w:r>
      <w:r w:rsidRPr="00FE3710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33464">
        <w:rPr>
          <w:rFonts w:ascii="Times New Roman" w:hAnsi="Times New Roman" w:cs="Times New Roman"/>
          <w:sz w:val="28"/>
          <w:szCs w:val="28"/>
          <w:lang w:val="uk-UA"/>
        </w:rPr>
        <w:t>ean parameter of systolic blood pressure was higher in mic</w:t>
      </w:r>
      <w:r>
        <w:rPr>
          <w:rFonts w:ascii="Times New Roman" w:hAnsi="Times New Roman" w:cs="Times New Roman"/>
          <w:sz w:val="28"/>
          <w:szCs w:val="28"/>
          <w:lang w:val="en-US"/>
        </w:rPr>
        <w:t>ro</w:t>
      </w:r>
      <w:r w:rsidRPr="00433464">
        <w:rPr>
          <w:rFonts w:ascii="Times New Roman" w:hAnsi="Times New Roman" w:cs="Times New Roman"/>
          <w:sz w:val="28"/>
          <w:szCs w:val="28"/>
          <w:lang w:val="uk-UA"/>
        </w:rPr>
        <w:t>albuminuric parients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3464">
        <w:rPr>
          <w:rFonts w:ascii="Times New Roman" w:hAnsi="Times New Roman" w:cs="Times New Roman"/>
          <w:sz w:val="28"/>
          <w:szCs w:val="28"/>
          <w:lang w:val="uk-UA"/>
        </w:rPr>
        <w:t>compared to normoalbuminuric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(163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33464">
        <w:rPr>
          <w:rFonts w:ascii="Times New Roman" w:hAnsi="Times New Roman" w:cs="Times New Roman"/>
          <w:sz w:val="28"/>
          <w:szCs w:val="28"/>
          <w:lang w:val="uk-UA"/>
        </w:rPr>
        <w:t>4±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mmHg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versus </w:t>
      </w:r>
      <w:r>
        <w:rPr>
          <w:rFonts w:ascii="Times New Roman" w:hAnsi="Times New Roman" w:cs="Times New Roman"/>
          <w:sz w:val="28"/>
          <w:szCs w:val="28"/>
          <w:lang w:val="uk-UA"/>
        </w:rPr>
        <w:t>153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±17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mmHg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p&lt;0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H2S was higer in normoalbuminuric group </w:t>
      </w:r>
      <w:r>
        <w:rPr>
          <w:rFonts w:ascii="Times New Roman" w:hAnsi="Times New Roman" w:cs="Times New Roman"/>
          <w:sz w:val="28"/>
          <w:szCs w:val="28"/>
          <w:lang w:val="uk-UA"/>
        </w:rPr>
        <w:t>(66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±7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 µ</w:t>
      </w:r>
      <w:r>
        <w:rPr>
          <w:rFonts w:ascii="Times New Roman" w:hAnsi="Times New Roman" w:cs="Times New Roman"/>
          <w:sz w:val="28"/>
          <w:szCs w:val="28"/>
          <w:lang w:val="en-US"/>
        </w:rPr>
        <w:t>mol</w:t>
      </w:r>
      <w:r w:rsidRPr="00433464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gramStart"/>
      <w:r w:rsidRPr="00433464">
        <w:rPr>
          <w:rFonts w:ascii="Times New Roman" w:hAnsi="Times New Roman" w:cs="Times New Roman"/>
          <w:sz w:val="28"/>
          <w:szCs w:val="28"/>
          <w:lang w:val="uk-UA"/>
        </w:rPr>
        <w:t>,.</w:t>
      </w:r>
      <w:proofErr w:type="gramEnd"/>
      <w:r w:rsidRPr="00433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Moderate positive correlation was between systolic blood pressure and microalbuminuria </w:t>
      </w:r>
      <w:r>
        <w:rPr>
          <w:rFonts w:ascii="Times New Roman" w:hAnsi="Times New Roman" w:cs="Times New Roman"/>
          <w:sz w:val="28"/>
          <w:szCs w:val="28"/>
          <w:lang w:val="uk-UA"/>
        </w:rPr>
        <w:t>(r= 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33464">
        <w:rPr>
          <w:rFonts w:ascii="Times New Roman" w:hAnsi="Times New Roman" w:cs="Times New Roman"/>
          <w:sz w:val="28"/>
          <w:szCs w:val="28"/>
          <w:lang w:val="uk-UA"/>
        </w:rPr>
        <w:t>3804</w:t>
      </w:r>
      <w:proofErr w:type="gramStart"/>
      <w:r w:rsidRPr="00433464">
        <w:rPr>
          <w:rFonts w:ascii="Times New Roman" w:hAnsi="Times New Roman" w:cs="Times New Roman"/>
          <w:sz w:val="28"/>
          <w:szCs w:val="28"/>
          <w:lang w:val="uk-UA"/>
        </w:rPr>
        <w:t>;p</w:t>
      </w:r>
      <w:proofErr w:type="gramEnd"/>
      <w:r w:rsidRPr="00433464">
        <w:rPr>
          <w:rFonts w:ascii="Times New Roman" w:hAnsi="Times New Roman" w:cs="Times New Roman"/>
          <w:sz w:val="28"/>
          <w:szCs w:val="28"/>
          <w:lang w:val="uk-UA"/>
        </w:rPr>
        <w:t xml:space="preserve">&lt; 0,01)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moderate negative correlation between hydrogen sulfide and microalbuminuria </w:t>
      </w:r>
      <w:r>
        <w:rPr>
          <w:rFonts w:ascii="Times New Roman" w:hAnsi="Times New Roman" w:cs="Times New Roman"/>
          <w:sz w:val="28"/>
          <w:szCs w:val="28"/>
          <w:lang w:val="uk-UA"/>
        </w:rPr>
        <w:t>(r= -0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3404; p&lt;0.</w:t>
      </w:r>
      <w:r w:rsidRPr="00433464">
        <w:rPr>
          <w:rFonts w:ascii="Times New Roman" w:hAnsi="Times New Roman" w:cs="Times New Roman"/>
          <w:sz w:val="28"/>
          <w:szCs w:val="28"/>
          <w:lang w:val="uk-UA"/>
        </w:rPr>
        <w:t>01).</w:t>
      </w:r>
    </w:p>
    <w:p w:rsidR="00FF510B" w:rsidRDefault="00FF510B" w:rsidP="00013563">
      <w:pPr>
        <w:tabs>
          <w:tab w:val="left" w:pos="9639"/>
        </w:tabs>
        <w:spacing w:after="0" w:line="360" w:lineRule="auto"/>
        <w:ind w:left="-426" w:right="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C29">
        <w:rPr>
          <w:rFonts w:ascii="Times New Roman" w:hAnsi="Times New Roman" w:cs="Times New Roman"/>
          <w:b/>
          <w:sz w:val="28"/>
          <w:szCs w:val="28"/>
          <w:lang w:val="en-US"/>
        </w:rPr>
        <w:t>Conclusions</w:t>
      </w:r>
      <w:r w:rsidRPr="0043346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we revealed decrease in hydrogen sulfide level to 57.4±7.9 µmol in patients with metabolic syndrome. It can be an early predictor of kidney impairment</w:t>
      </w:r>
      <w:r w:rsidRPr="005379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10B" w:rsidRDefault="00FF510B" w:rsidP="00013563">
      <w:pPr>
        <w:tabs>
          <w:tab w:val="left" w:pos="9639"/>
        </w:tabs>
        <w:spacing w:after="0" w:line="360" w:lineRule="auto"/>
        <w:ind w:left="-426" w:right="284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F510B" w:rsidRDefault="00FF510B" w:rsidP="00013563">
      <w:pPr>
        <w:tabs>
          <w:tab w:val="left" w:pos="9639"/>
        </w:tabs>
        <w:spacing w:after="0" w:line="360" w:lineRule="auto"/>
        <w:ind w:left="-426" w:right="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Introduction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metabolic</w:t>
      </w:r>
      <w:r w:rsidRPr="00595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syndrome (MS)</w:t>
      </w:r>
      <w:r w:rsidRPr="00595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</w:t>
      </w:r>
      <w:r w:rsidRPr="00595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595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epidemy</w:t>
      </w:r>
      <w:r w:rsidRPr="00595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ХХІ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century</w:t>
      </w:r>
      <w:r w:rsidRPr="00595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Its</w:t>
      </w:r>
      <w:r w:rsidRPr="00595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prevalence</w:t>
      </w:r>
      <w:r w:rsidRPr="00595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595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highly</w:t>
      </w:r>
      <w:r w:rsidRPr="00595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industrialized</w:t>
      </w:r>
      <w:r w:rsidRPr="00595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countries</w:t>
      </w:r>
      <w:r w:rsidRPr="00595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</w:t>
      </w:r>
      <w:r w:rsidRPr="00595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20-30%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main components of MS</w:t>
      </w:r>
      <w:r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 abdominal obesity, glucose intolerance or type 2 diabetes mellitus (T2D), hypertension, dyslipidemia lead to development of severe cardiovascular complications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[6,8,13].</w:t>
      </w:r>
      <w:r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F510B" w:rsidRDefault="00FF510B" w:rsidP="00013563">
      <w:pPr>
        <w:tabs>
          <w:tab w:val="left" w:pos="9639"/>
        </w:tabs>
        <w:spacing w:after="0" w:line="360" w:lineRule="auto"/>
        <w:ind w:left="-426" w:right="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These</w:t>
      </w:r>
      <w:r w:rsidRPr="004507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risk</w:t>
      </w:r>
      <w:r w:rsidRPr="004507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factors</w:t>
      </w:r>
      <w:r w:rsidRPr="004507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also</w:t>
      </w:r>
      <w:r w:rsidRPr="004507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play</w:t>
      </w:r>
      <w:r w:rsidRPr="004507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 important</w:t>
      </w:r>
      <w:r w:rsidRPr="004507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role</w:t>
      </w:r>
      <w:r w:rsidRPr="004507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4507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development</w:t>
      </w:r>
      <w:r w:rsidRPr="004507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4507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chronic</w:t>
      </w:r>
      <w:r w:rsidRPr="004507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kidney</w:t>
      </w:r>
      <w:r w:rsidRPr="004507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disease</w:t>
      </w:r>
      <w:r w:rsidRPr="004507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CKD</w:t>
      </w:r>
      <w:r w:rsidRPr="004507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Number of patients on dyalisis is growing every year.</w:t>
      </w:r>
      <w:r w:rsidRPr="000F32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Pr="00EA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1,6,8,9,11,12</w:t>
      </w:r>
      <w:r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].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Results</w:t>
      </w:r>
      <w:r w:rsidRPr="00EA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EA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many</w:t>
      </w:r>
      <w:r w:rsidRPr="00EA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trials</w:t>
      </w:r>
      <w:r w:rsidRPr="00EA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show</w:t>
      </w:r>
      <w:r w:rsidRPr="00EA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that</w:t>
      </w:r>
      <w:r w:rsidRPr="00EA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Pr="00EA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</w:t>
      </w:r>
      <w:r w:rsidRPr="00EA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 independent</w:t>
      </w:r>
      <w:r w:rsidRPr="00EA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predictor</w:t>
      </w:r>
      <w:r w:rsidRPr="00EA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proteinuria</w:t>
      </w:r>
      <w:r w:rsidRPr="00EA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Pr="00EA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CKD till terminal stages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Pr="00CA39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proofErr w:type="gramStart"/>
      <w:r w:rsidRPr="00CA39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,8,11</w:t>
      </w:r>
      <w:proofErr w:type="gramEnd"/>
      <w:r w:rsidRPr="00CA39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-13</w:t>
      </w:r>
      <w:r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].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This</w:t>
      </w:r>
      <w:r w:rsidRPr="00EA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</w:t>
      </w:r>
      <w:r w:rsidRPr="00EA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confirmed</w:t>
      </w:r>
      <w:r w:rsidRPr="00EA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</w:t>
      </w:r>
      <w:r w:rsidRPr="00EA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correlation between components of MS and proteinuria, microalbuminuria and glomerular filtration rate (GFR).</w:t>
      </w:r>
      <w:r w:rsidRPr="00BA1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Main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features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MS 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chronic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insulin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resistance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result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renin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angiotensin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aldosteron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system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activation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hyperfiltration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albuminuria [13-15]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F510B" w:rsidRDefault="00FF510B" w:rsidP="00013563">
      <w:pPr>
        <w:tabs>
          <w:tab w:val="left" w:pos="9639"/>
        </w:tabs>
        <w:spacing w:after="0" w:line="360" w:lineRule="auto"/>
        <w:ind w:left="-426" w:right="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Abdominal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obesity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confirmed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main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reason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insulin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resistance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hyperglycemia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arterial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hypertension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dyslipidemia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Pr="00CA39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51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Increase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visceral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fat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from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kg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kg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leads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Pr="00CB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reduction of</w:t>
      </w:r>
      <w:r w:rsidRPr="00DA6E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tissue</w:t>
      </w:r>
      <w:r w:rsidRPr="00DA6E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susceptibility to insulin for 60% [8]. Result</w:t>
      </w:r>
      <w:r w:rsidRPr="00B666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B666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this</w:t>
      </w:r>
      <w:r w:rsidRPr="00B666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</w:t>
      </w:r>
      <w:r w:rsidRPr="00B666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hyperfiltration</w:t>
      </w:r>
      <w:r w:rsidRPr="00B666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Pr="00B666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hypertrophy</w:t>
      </w:r>
      <w:r w:rsidRPr="00B666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B666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podocytes</w:t>
      </w:r>
      <w:r w:rsidRPr="00B666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wicht</w:t>
      </w:r>
      <w:r w:rsidRPr="00B666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B666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future</w:t>
      </w:r>
      <w:r w:rsidRPr="00B666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facilitates</w:t>
      </w:r>
      <w:r w:rsidRPr="00B666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CKD</w:t>
      </w:r>
      <w:r w:rsidRPr="00B666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development [5]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F510B" w:rsidRDefault="00FF510B" w:rsidP="00013563">
      <w:pPr>
        <w:tabs>
          <w:tab w:val="left" w:pos="9639"/>
        </w:tabs>
        <w:spacing w:after="0" w:line="360" w:lineRule="auto"/>
        <w:ind w:left="-426" w:right="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Kidney</w:t>
      </w:r>
      <w:r w:rsidRPr="00B6665A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damage</w:t>
      </w:r>
      <w:r w:rsidRPr="00B6665A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in</w:t>
      </w:r>
      <w:r w:rsidRPr="00B6665A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patients</w:t>
      </w:r>
      <w:r w:rsidRPr="00B6665A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with</w:t>
      </w:r>
      <w:r w:rsidRPr="00B6665A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cardiovascular</w:t>
      </w:r>
      <w:r w:rsidRPr="00B6665A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risk</w:t>
      </w:r>
      <w:r w:rsidRPr="00B6665A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factors</w:t>
      </w:r>
      <w:r w:rsidRPr="00B6665A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is</w:t>
      </w:r>
      <w:r w:rsidRPr="00B6665A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associated</w:t>
      </w:r>
      <w:r w:rsidRPr="00B6665A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with</w:t>
      </w:r>
      <w:r w:rsidRPr="00B6665A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oxidative</w:t>
      </w:r>
      <w:r w:rsidRPr="00B6665A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stress</w:t>
      </w:r>
      <w:r w:rsidRPr="00B6665A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and</w:t>
      </w:r>
      <w:r w:rsidRPr="00B6665A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systemic</w:t>
      </w:r>
      <w:r w:rsidRPr="00B6665A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inflammation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[</w:t>
      </w:r>
      <w:r w:rsidRPr="00B6665A">
        <w:rPr>
          <w:rFonts w:ascii="Times New Roman" w:eastAsia="Times New Roman" w:hAnsi="Times New Roman" w:cs="Times New Roman"/>
          <w:color w:val="000000"/>
          <w:sz w:val="28"/>
          <w:lang w:val="uk-UA"/>
        </w:rPr>
        <w:t>11-13].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Hydrogen sulfide (H</w:t>
      </w:r>
      <w:r w:rsidRPr="0074039D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S) and nitrogen monooxide (NO) play an important role in these processes [2, 4,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10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].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 Together with carbon monooxide (CO) they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 </w:t>
      </w:r>
      <w:r w:rsidRPr="00BB3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belong to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family of gasotransmitters, which participate in functional regulation of cardiovascular, nervous and digestive systems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Pr="00BB3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10].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Endothelial</w:t>
      </w:r>
      <w:r w:rsidRPr="00BB3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cells</w:t>
      </w:r>
      <w:r w:rsidRPr="00BB3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release</w:t>
      </w:r>
      <w:r w:rsidRPr="00BB3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7403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BB3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BB3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BB3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in response to different</w:t>
      </w:r>
      <w:r w:rsidRPr="00BB3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stimuli</w:t>
      </w:r>
      <w:r w:rsidRPr="00BB3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insulin</w:t>
      </w:r>
      <w:r w:rsidRPr="00BB3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estradiol</w:t>
      </w:r>
      <w:r w:rsidRPr="00BB3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acethylcholin</w:t>
      </w:r>
      <w:r w:rsidRPr="00BB3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bradykinin</w:t>
      </w:r>
      <w:r w:rsidRPr="00BB3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endothelium</w:t>
      </w:r>
      <w:proofErr w:type="gramEnd"/>
      <w:r w:rsidRPr="00BB3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growth</w:t>
      </w:r>
      <w:r w:rsidRPr="00BB3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factor</w:t>
      </w:r>
      <w:r w:rsidRPr="00BB3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EGF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Pr="00CA3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2-4</w:t>
      </w:r>
      <w:r w:rsidRPr="005B6E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300C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It was</w:t>
      </w:r>
      <w:r w:rsidRPr="00914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investigated</w:t>
      </w:r>
      <w:r w:rsidRPr="00914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914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2008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that</w:t>
      </w:r>
      <w:r w:rsidRPr="00914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not</w:t>
      </w:r>
      <w:r w:rsidRPr="00914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only</w:t>
      </w:r>
      <w:r w:rsidRPr="00914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smooth</w:t>
      </w:r>
      <w:r w:rsidRPr="00914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muscle</w:t>
      </w:r>
      <w:r w:rsidRPr="00914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tissue</w:t>
      </w:r>
      <w:r w:rsidRPr="00914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but</w:t>
      </w:r>
      <w:r w:rsidRPr="00914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also</w:t>
      </w:r>
      <w:r w:rsidRPr="00914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endothelium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releases</w:t>
      </w:r>
      <w:r w:rsidRPr="00914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7403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S.</w:t>
      </w:r>
      <w:r w:rsidRPr="00914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2009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was</w:t>
      </w:r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revealed</w:t>
      </w:r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that</w:t>
      </w:r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7403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produced</w:t>
      </w:r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kidneys</w:t>
      </w:r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exogenous</w:t>
      </w:r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donor</w:t>
      </w:r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sulfgydryl group</w:t>
      </w:r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has</w:t>
      </w:r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strong</w:t>
      </w:r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diuretic</w:t>
      </w:r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,</w:t>
      </w:r>
      <w:proofErr w:type="gramEnd"/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natriuretic</w:t>
      </w:r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kaliuretic</w:t>
      </w:r>
      <w:r w:rsidRPr="00BB3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action [10].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lastRenderedPageBreak/>
        <w:t>Abdominal</w:t>
      </w:r>
      <w:r w:rsidRPr="00BB3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obesity</w:t>
      </w:r>
      <w:r w:rsidRPr="00BB3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arterial</w:t>
      </w:r>
      <w:r w:rsidRPr="00BB3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hypertension</w:t>
      </w:r>
      <w:r w:rsidRPr="00BB3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DM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are associated with oxidative stress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[</w:t>
      </w:r>
      <w:r w:rsidRPr="00F912C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6</w:t>
      </w:r>
      <w:proofErr w:type="gramStart"/>
      <w:r w:rsidRPr="00F912C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,8,11,12</w:t>
      </w:r>
      <w:proofErr w:type="gramEnd"/>
      <w:r w:rsidRPr="005B6E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].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When</w:t>
      </w:r>
      <w:r w:rsidRPr="00BB3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hypoxia</w:t>
      </w:r>
      <w:r w:rsidRPr="00BB3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occurs,</w:t>
      </w:r>
      <w:r w:rsidRPr="00BB3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accumulation</w:t>
      </w:r>
      <w:r w:rsidRPr="00BB3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of</w:t>
      </w:r>
      <w:r w:rsidRPr="00BB3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H</w:t>
      </w:r>
      <w:r w:rsidRPr="0074039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S</w:t>
      </w:r>
      <w:r w:rsidRPr="00BB3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in</w:t>
      </w:r>
      <w:r w:rsidRPr="00BB3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medulla</w:t>
      </w:r>
      <w:r w:rsidRPr="00BB3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helps</w:t>
      </w:r>
      <w:r w:rsidRPr="00BB3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to</w:t>
      </w:r>
      <w:r w:rsidRPr="00BB3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restore</w:t>
      </w:r>
      <w:r w:rsidRPr="00BB3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oxygen</w:t>
      </w:r>
      <w:r w:rsidRPr="00BB3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balance</w:t>
      </w:r>
      <w:r w:rsidRPr="00BB3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due</w:t>
      </w:r>
      <w:r w:rsidRPr="00BB3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to</w:t>
      </w:r>
      <w:r w:rsidRPr="00BB3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decrease</w:t>
      </w:r>
      <w:r w:rsidRPr="00BB3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in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blood circulation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in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kidneys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increase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energetic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need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for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Na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transport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and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inhibition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of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mitochondrial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respiration</w:t>
      </w:r>
      <w:r w:rsidRPr="0056436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. Decrease in endogenous H2S stops reactive vasodilatation in response to high BP and promotes kidney damage [2-4, 7].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 But the deficiency of H</w:t>
      </w:r>
      <w:r w:rsidRPr="0074039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S can lead to progression of kidney damage in patients with comorbidities 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[3]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Results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of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study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of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1004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patients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with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T2D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show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that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high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concentration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of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H</w:t>
      </w:r>
      <w:r w:rsidRPr="0074039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S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correlates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with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low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level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of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proteinuria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[</w:t>
      </w:r>
      <w:r w:rsidRPr="008B14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14</w:t>
      </w:r>
      <w:r w:rsidRPr="00665D7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].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Results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of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another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study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which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took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place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in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proofErr w:type="gramStart"/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2015</w:t>
      </w:r>
      <w:proofErr w:type="gramEnd"/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demonstrated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that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use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of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hydrogen sulfid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donors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in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mice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facilitates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kidney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repair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after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ischemic lesion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[</w:t>
      </w:r>
      <w:r w:rsidRPr="00B307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7</w:t>
      </w:r>
      <w:r w:rsidRPr="004702F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].</w:t>
      </w:r>
    </w:p>
    <w:p w:rsidR="00FF510B" w:rsidRDefault="00FF510B" w:rsidP="00013563">
      <w:pPr>
        <w:tabs>
          <w:tab w:val="left" w:pos="9639"/>
        </w:tabs>
        <w:spacing w:after="0" w:line="360" w:lineRule="auto"/>
        <w:ind w:left="-426" w:right="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Thus</w:t>
      </w:r>
      <w:r w:rsidRPr="00BC7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kidney</w:t>
      </w:r>
      <w:r w:rsidRPr="00BC7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dysfunction</w:t>
      </w:r>
      <w:r w:rsidRPr="00BC7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</w:t>
      </w:r>
      <w:r w:rsidRPr="00BC7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patients</w:t>
      </w:r>
      <w:r w:rsidRPr="00BC7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with</w:t>
      </w:r>
      <w:r w:rsidRPr="00BC7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MS</w:t>
      </w:r>
      <w:r w:rsidRPr="00BC7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appears</w:t>
      </w:r>
      <w:r w:rsidRPr="00BC7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long before</w:t>
      </w:r>
      <w:r w:rsidRPr="00BC7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DM</w:t>
      </w:r>
      <w:r w:rsidRPr="00BC7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</w:t>
      </w:r>
      <w:r w:rsidRPr="00BC7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arterial</w:t>
      </w:r>
      <w:r w:rsidRPr="00BC7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hypertension</w:t>
      </w:r>
      <w:r w:rsidRPr="00BC7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occur</w:t>
      </w:r>
      <w:r w:rsidRPr="00BC7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Its pathogenesis has not yet been studied well and is quite discutable.</w:t>
      </w:r>
      <w:r w:rsidRPr="00182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There</w:t>
      </w:r>
      <w:r w:rsidRPr="00BC7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are</w:t>
      </w:r>
      <w:proofErr w:type="gramEnd"/>
      <w:r w:rsidRPr="00BC7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BC7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accurate</w:t>
      </w:r>
      <w:r w:rsidRPr="00BC7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data</w:t>
      </w:r>
      <w:r w:rsidRPr="00BC7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about</w:t>
      </w:r>
      <w:r w:rsidRPr="00BC7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which</w:t>
      </w:r>
      <w:r w:rsidRPr="00BC7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of MS</w:t>
      </w:r>
      <w:r w:rsidRPr="00BC7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components</w:t>
      </w:r>
      <w:r w:rsidRPr="00BC7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BC7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plays</w:t>
      </w:r>
      <w:r w:rsidRPr="00BC7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4B16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most</w:t>
      </w:r>
      <w:r w:rsidRPr="004B16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important</w:t>
      </w:r>
      <w:r w:rsidRPr="004B16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role</w:t>
      </w:r>
      <w:r w:rsidRPr="004B16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4B16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4B16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disease</w:t>
      </w:r>
      <w:r w:rsidRPr="007449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progression.</w:t>
      </w:r>
    </w:p>
    <w:p w:rsidR="00FF510B" w:rsidRDefault="00FF510B" w:rsidP="00013563">
      <w:pPr>
        <w:tabs>
          <w:tab w:val="left" w:pos="9639"/>
        </w:tabs>
        <w:spacing w:after="0" w:line="360" w:lineRule="auto"/>
        <w:ind w:left="-426" w:right="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3D3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Aim</w:t>
      </w:r>
      <w:r w:rsidRPr="00A2134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Pr="004B16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reveal</w:t>
      </w:r>
      <w:r w:rsidRPr="004B16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early</w:t>
      </w:r>
      <w:r w:rsidRPr="004B16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predictors</w:t>
      </w:r>
      <w:r w:rsidRPr="004B16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4B16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kidney</w:t>
      </w:r>
      <w:r w:rsidRPr="004B16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failure</w:t>
      </w:r>
      <w:r w:rsidRPr="004B16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4B16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patients</w:t>
      </w:r>
      <w:r w:rsidRPr="004B16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with</w:t>
      </w:r>
      <w:r w:rsidRPr="004B16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MS.</w:t>
      </w:r>
    </w:p>
    <w:p w:rsidR="00FF510B" w:rsidRDefault="00FF510B" w:rsidP="00013563">
      <w:pPr>
        <w:tabs>
          <w:tab w:val="left" w:pos="9639"/>
        </w:tabs>
        <w:spacing w:after="0" w:line="360" w:lineRule="auto"/>
        <w:ind w:left="-426" w:right="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3D3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Matherials and methods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4B16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investigation involved</w:t>
      </w:r>
      <w:r w:rsidRPr="004B16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70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patients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Pr="004B16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</w:t>
      </w:r>
      <w:r w:rsidRPr="004B16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Pr="004B16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50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women</w:t>
      </w:r>
      <w:r w:rsidRPr="004B16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with</w:t>
      </w:r>
      <w:r w:rsidRPr="004B16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Pr="004B16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Diagnosis of MS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confirmed due to IDF criteria (2015).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Patients with type 1 diabetes mellitus (T1D), systolic dysfunction of left ventricle (EF &lt; 45%), with renovascular hypertension, disease of hypothalamo-hypofisar system, thyroid, parathyroid and adrenal diseases, systemic connective tissue, urinary and oncologic diseases</w:t>
      </w:r>
      <w:r w:rsidRPr="00744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were excluded from investigation. All participants underwent</w:t>
      </w:r>
      <w:r w:rsidRPr="005734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clinical examination </w:t>
      </w:r>
      <w:proofErr w:type="gramStart"/>
      <w:r w:rsidRPr="005734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 including</w:t>
      </w:r>
      <w:proofErr w:type="gramEnd"/>
      <w:r w:rsidRPr="005734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main anthropometric parametres- weight,  height and waist circumference (WC))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record of </w:t>
      </w:r>
      <w:r w:rsidRPr="005734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case history and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complaints</w:t>
      </w:r>
      <w:r w:rsidRPr="005734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Body mass index (BMI) was calculated as body weight (kg) divided by height squared (m2). Systolic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diastolic blood pressure (SBP and DBP) was measured with</w:t>
      </w:r>
      <w:r w:rsidRPr="005734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manual sphygmomanometer on the left arm in a sitting position after at least 10 min of rest.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Main laboratory (urine,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blood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lipids) and instrumental (ECG, TTE, ultrasound of internal organs) investigations were done. In addition blood sample was taken for uric acid, NO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method Sumbaeva V.V., Yasinska I.M.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BE7C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BE7C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r w:rsidRPr="001C05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DC5C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as well as 24 hour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urine sample for microalbuminuria (MAU)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GFR</w:t>
      </w:r>
      <w:r w:rsidRPr="004B6E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was</w:t>
      </w:r>
      <w:r w:rsidRPr="004B6E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calculated</w:t>
      </w:r>
      <w:r w:rsidRPr="004B6E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</w:t>
      </w:r>
      <w:r w:rsidRPr="004B6E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MDRD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lso by Cockroft-Gault formule. Kidney damage was estimated by albuminuria leve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,l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accordingly to it all patients were divided into three groups: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 normoalbuminuria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&lt; 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107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03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 microalbuminuria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03 – 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 macroalbuminuria (</w:t>
      </w:r>
      <w:r w:rsidRPr="00107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&lt;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American</w:t>
      </w:r>
      <w:r w:rsidRPr="00107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Diabetes</w:t>
      </w:r>
      <w:r w:rsidRPr="00107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Association</w:t>
      </w:r>
      <w:r w:rsidRPr="00107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F1E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ADA</w:t>
      </w:r>
      <w:r w:rsidRPr="00EF1E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2016).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C5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Continous characteristics were represented using means and st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andard deviations. Independent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C5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tudent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’s</w:t>
      </w:r>
      <w:r w:rsidRPr="007C5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t-test was used to compare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differences between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separate</w:t>
      </w:r>
      <w:r w:rsidRPr="007C5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different groups. </w:t>
      </w:r>
      <w:r w:rsidRPr="007C5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Pearson correlation coefficient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(r) was used for calculation of different correlations.</w:t>
      </w:r>
    </w:p>
    <w:p w:rsidR="00FF510B" w:rsidRDefault="00FF510B" w:rsidP="00013563">
      <w:pPr>
        <w:tabs>
          <w:tab w:val="left" w:pos="9639"/>
        </w:tabs>
        <w:spacing w:after="0" w:line="360" w:lineRule="auto"/>
        <w:ind w:left="-426" w:right="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73D3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Results and discussion</w:t>
      </w:r>
      <w:r w:rsidRPr="007578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Mean age of all patients was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3±10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years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Normoalbuminuria</w:t>
      </w:r>
      <w:r w:rsidRPr="00D568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was</w:t>
      </w:r>
      <w:r w:rsidRPr="00D568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revealed</w:t>
      </w:r>
      <w:r w:rsidRPr="00D568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D568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18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patients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(25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7%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microalbuminuria- in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35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patients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1%) 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macroalbuminuria- in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patients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(24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2%).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All</w:t>
      </w:r>
      <w:r w:rsidRPr="00D568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parametres of the patients are</w:t>
      </w:r>
      <w:r w:rsidRPr="00D568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shown</w:t>
      </w:r>
      <w:r w:rsidRPr="00044D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D568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table</w:t>
      </w:r>
      <w:r w:rsidRPr="00D568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BMI</w:t>
      </w:r>
      <w:r w:rsidRPr="00D568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D568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patients</w:t>
      </w:r>
      <w:r w:rsidRPr="00D568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with</w:t>
      </w:r>
      <w:r w:rsidRPr="00D568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macroalbuminuria was higher compared to microalbuminuria patients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3.5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kg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r w:rsidRPr="00E107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E107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r w:rsidRPr="00E107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E107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3.8 kg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A009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&lt; 0</w:t>
      </w:r>
      <w:proofErr w:type="gramStart"/>
      <w:r w:rsidRPr="00A009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,05</w:t>
      </w:r>
      <w:proofErr w:type="gramEnd"/>
      <w:r w:rsidRPr="00A009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There was no difference between the 1 and the 2 group. WC was higher in the 2 group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03.3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± 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.1 cm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compared to the 1 group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95.3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 0.</w:t>
      </w:r>
      <w:r w:rsidRPr="000B5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001.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But there was no difference between the 2 and the 3 group. SBP was higher in patients with microalbuminuria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than in normoalbuminuria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(163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±1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7.5</w:t>
      </w:r>
      <w:r w:rsidR="000508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mm Hg;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±1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4.4 mmHg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р&lt; 0,001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DBP was higher in the 3 group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than in the 2 group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±10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mm Hg;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±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8.9 mmHg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 &lt; 0.</w:t>
      </w:r>
      <w:r w:rsidRPr="000B5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0B5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TG level was higher in the 3 group compared to the 1 group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8±0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.8 mmol/l;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±0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mmol/l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&lt;0.</w:t>
      </w:r>
      <w:r w:rsidRPr="000B5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0B5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0B5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0B5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was higher in the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group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than in the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 in the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(66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.3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±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5.7 µmol;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2.2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± 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.9</w:t>
      </w:r>
      <w:r w:rsidR="000508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mol;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7.4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±7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.9 µmol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р</w:t>
      </w:r>
      <w:r w:rsidRPr="000B5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&lt;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05, 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 0.</w:t>
      </w:r>
      <w:r w:rsidRPr="000B5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0B5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FF510B" w:rsidRPr="007578EA" w:rsidRDefault="00FF510B" w:rsidP="00013563">
      <w:pPr>
        <w:tabs>
          <w:tab w:val="left" w:pos="9639"/>
        </w:tabs>
        <w:spacing w:after="0" w:line="360" w:lineRule="auto"/>
        <w:ind w:left="-426" w:right="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There was no difference between lipids, GFR and NO in investigated groups.</w:t>
      </w:r>
    </w:p>
    <w:p w:rsidR="00FF510B" w:rsidRDefault="00FF510B" w:rsidP="00013563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F510B" w:rsidRPr="00AA1814" w:rsidRDefault="00FF510B" w:rsidP="00013563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Table 1. Bas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ic</w:t>
      </w:r>
      <w:r w:rsidRPr="009221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characteristic of all patients</w:t>
      </w:r>
    </w:p>
    <w:tbl>
      <w:tblPr>
        <w:tblStyle w:val="a6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2551"/>
        <w:gridCol w:w="2552"/>
      </w:tblGrid>
      <w:tr w:rsidR="00FF510B" w:rsidRPr="00A0095D" w:rsidTr="00BD5813">
        <w:trPr>
          <w:trHeight w:val="709"/>
        </w:trPr>
        <w:tc>
          <w:tcPr>
            <w:tcW w:w="3686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F510B" w:rsidRPr="009B19F9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Normoalbuminuria n</w:t>
            </w:r>
            <w:r w:rsidRPr="00A009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=18</w:t>
            </w:r>
          </w:p>
        </w:tc>
        <w:tc>
          <w:tcPr>
            <w:tcW w:w="2551" w:type="dxa"/>
          </w:tcPr>
          <w:p w:rsidR="00FF510B" w:rsidRPr="000931AA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Microalbuminuria</w:t>
            </w:r>
          </w:p>
          <w:p w:rsidR="00FF510B" w:rsidRPr="009B19F9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A009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=35</w:t>
            </w:r>
          </w:p>
        </w:tc>
        <w:tc>
          <w:tcPr>
            <w:tcW w:w="2552" w:type="dxa"/>
          </w:tcPr>
          <w:p w:rsidR="00FF510B" w:rsidRPr="000931AA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Macroalbuminuria</w:t>
            </w:r>
          </w:p>
          <w:p w:rsidR="00FF510B" w:rsidRPr="009B19F9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A009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=17</w:t>
            </w:r>
          </w:p>
        </w:tc>
      </w:tr>
      <w:tr w:rsidR="00FF510B" w:rsidRPr="009B19F9" w:rsidTr="00BD5813">
        <w:tc>
          <w:tcPr>
            <w:tcW w:w="3686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Age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years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FF510B" w:rsidRPr="009B19F9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3.1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9.1</w:t>
            </w:r>
          </w:p>
        </w:tc>
        <w:tc>
          <w:tcPr>
            <w:tcW w:w="2551" w:type="dxa"/>
          </w:tcPr>
          <w:p w:rsidR="00FF510B" w:rsidRPr="006B582A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1.0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0.8</w:t>
            </w:r>
          </w:p>
        </w:tc>
        <w:tc>
          <w:tcPr>
            <w:tcW w:w="2552" w:type="dxa"/>
          </w:tcPr>
          <w:p w:rsidR="00FF510B" w:rsidRPr="006B582A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65.0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11.0</w:t>
            </w:r>
          </w:p>
        </w:tc>
      </w:tr>
      <w:tr w:rsidR="00FF510B" w:rsidRPr="009B19F9" w:rsidTr="00BD5813">
        <w:tc>
          <w:tcPr>
            <w:tcW w:w="3686" w:type="dxa"/>
          </w:tcPr>
          <w:p w:rsidR="00FF510B" w:rsidRPr="00B56845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BMI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FF510B" w:rsidRPr="00A0689C" w:rsidRDefault="00FF510B" w:rsidP="00A0689C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0.5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3.8*</w:t>
            </w:r>
          </w:p>
        </w:tc>
        <w:tc>
          <w:tcPr>
            <w:tcW w:w="2551" w:type="dxa"/>
          </w:tcPr>
          <w:p w:rsidR="00FF510B" w:rsidRPr="00A0689C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3.5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="000508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</w:tcPr>
          <w:p w:rsidR="00FF510B" w:rsidRPr="00A0689C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5.0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3.5*</w:t>
            </w:r>
          </w:p>
        </w:tc>
      </w:tr>
      <w:tr w:rsidR="00FF510B" w:rsidRPr="009B19F9" w:rsidTr="00BD5813">
        <w:tc>
          <w:tcPr>
            <w:tcW w:w="3686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5.3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**</w:t>
            </w:r>
          </w:p>
        </w:tc>
        <w:tc>
          <w:tcPr>
            <w:tcW w:w="2551" w:type="dxa"/>
          </w:tcPr>
          <w:p w:rsidR="00FF510B" w:rsidRPr="00A73EC6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3.3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2552" w:type="dxa"/>
          </w:tcPr>
          <w:p w:rsidR="00FF510B" w:rsidRPr="00A73EC6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06.1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.5</w:t>
            </w:r>
          </w:p>
        </w:tc>
      </w:tr>
      <w:tr w:rsidR="00FF510B" w:rsidRPr="00A0689C" w:rsidTr="00BD5813">
        <w:tc>
          <w:tcPr>
            <w:tcW w:w="3686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SBP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mmHg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 ±1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**</w:t>
            </w:r>
          </w:p>
        </w:tc>
        <w:tc>
          <w:tcPr>
            <w:tcW w:w="2551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7.5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**</w:t>
            </w:r>
          </w:p>
        </w:tc>
        <w:tc>
          <w:tcPr>
            <w:tcW w:w="2552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171.7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19.6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**</w:t>
            </w:r>
          </w:p>
        </w:tc>
      </w:tr>
      <w:tr w:rsidR="00FF510B" w:rsidRPr="00A73EC6" w:rsidTr="00BD5813">
        <w:tc>
          <w:tcPr>
            <w:tcW w:w="3686" w:type="dxa"/>
          </w:tcPr>
          <w:p w:rsidR="00FF510B" w:rsidRPr="00A0689C" w:rsidRDefault="00FF510B" w:rsidP="000135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DBP (mmHg)</w:t>
            </w:r>
          </w:p>
        </w:tc>
        <w:tc>
          <w:tcPr>
            <w:tcW w:w="2410" w:type="dxa"/>
          </w:tcPr>
          <w:p w:rsidR="00FF510B" w:rsidRPr="00A73EC6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</w:t>
            </w:r>
          </w:p>
        </w:tc>
        <w:tc>
          <w:tcPr>
            <w:tcW w:w="2551" w:type="dxa"/>
          </w:tcPr>
          <w:p w:rsidR="00FF510B" w:rsidRPr="00A73EC6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9**</w:t>
            </w:r>
          </w:p>
        </w:tc>
        <w:tc>
          <w:tcPr>
            <w:tcW w:w="2552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5**</w:t>
            </w:r>
          </w:p>
        </w:tc>
      </w:tr>
      <w:tr w:rsidR="00FF510B" w:rsidTr="00BD5813">
        <w:tc>
          <w:tcPr>
            <w:tcW w:w="3686" w:type="dxa"/>
          </w:tcPr>
          <w:p w:rsidR="00FF510B" w:rsidRPr="00BF758A" w:rsidRDefault="00FF510B" w:rsidP="00013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E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 cholester</w:t>
            </w:r>
            <w:r w:rsidRPr="00BF758A">
              <w:rPr>
                <w:rFonts w:ascii="Times New Roman" w:hAnsi="Times New Roman" w:cs="Times New Roman"/>
                <w:sz w:val="28"/>
                <w:szCs w:val="28"/>
              </w:rPr>
              <w:t>ol (mmol/l)</w:t>
            </w:r>
          </w:p>
        </w:tc>
        <w:tc>
          <w:tcPr>
            <w:tcW w:w="2410" w:type="dxa"/>
          </w:tcPr>
          <w:p w:rsidR="00FF510B" w:rsidRPr="00A73EC6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 ±1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.3</w:t>
            </w:r>
          </w:p>
        </w:tc>
        <w:tc>
          <w:tcPr>
            <w:tcW w:w="2551" w:type="dxa"/>
          </w:tcPr>
          <w:p w:rsidR="00FF510B" w:rsidRPr="00A73EC6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.4</w:t>
            </w:r>
          </w:p>
        </w:tc>
        <w:tc>
          <w:tcPr>
            <w:tcW w:w="2552" w:type="dxa"/>
          </w:tcPr>
          <w:p w:rsidR="00FF510B" w:rsidRPr="00A73EC6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</w:t>
            </w:r>
          </w:p>
        </w:tc>
      </w:tr>
      <w:tr w:rsidR="00FF510B" w:rsidTr="00BD5813">
        <w:tc>
          <w:tcPr>
            <w:tcW w:w="3686" w:type="dxa"/>
          </w:tcPr>
          <w:p w:rsidR="00FF510B" w:rsidRPr="00BF758A" w:rsidRDefault="00FF510B" w:rsidP="00013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58A">
              <w:rPr>
                <w:rFonts w:ascii="Times New Roman" w:hAnsi="Times New Roman" w:cs="Times New Roman"/>
                <w:sz w:val="28"/>
                <w:szCs w:val="28"/>
              </w:rPr>
              <w:t>HDL (mmol/l)</w:t>
            </w:r>
          </w:p>
        </w:tc>
        <w:tc>
          <w:tcPr>
            <w:tcW w:w="2410" w:type="dxa"/>
          </w:tcPr>
          <w:p w:rsidR="00FF510B" w:rsidRPr="00A73EC6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 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</w:t>
            </w:r>
          </w:p>
        </w:tc>
        <w:tc>
          <w:tcPr>
            <w:tcW w:w="2551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FF510B" w:rsidTr="00BD5813">
        <w:tc>
          <w:tcPr>
            <w:tcW w:w="3686" w:type="dxa"/>
          </w:tcPr>
          <w:p w:rsidR="00FF510B" w:rsidRPr="00BF758A" w:rsidRDefault="00FF510B" w:rsidP="00013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58A">
              <w:rPr>
                <w:rFonts w:ascii="Times New Roman" w:hAnsi="Times New Roman" w:cs="Times New Roman"/>
                <w:sz w:val="28"/>
                <w:szCs w:val="28"/>
              </w:rPr>
              <w:t>LDL (mmol/l)</w:t>
            </w:r>
          </w:p>
        </w:tc>
        <w:tc>
          <w:tcPr>
            <w:tcW w:w="2410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 ±1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</w:tr>
      <w:tr w:rsidR="00FF510B" w:rsidRPr="00A73EC6" w:rsidTr="00BD5813">
        <w:tc>
          <w:tcPr>
            <w:tcW w:w="3686" w:type="dxa"/>
          </w:tcPr>
          <w:p w:rsidR="00FF510B" w:rsidRPr="00BF758A" w:rsidRDefault="00FF510B" w:rsidP="00013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58A">
              <w:rPr>
                <w:rFonts w:ascii="Times New Roman" w:hAnsi="Times New Roman" w:cs="Times New Roman"/>
                <w:sz w:val="28"/>
                <w:szCs w:val="28"/>
              </w:rPr>
              <w:t>TG (mmol/l)</w:t>
            </w:r>
          </w:p>
        </w:tc>
        <w:tc>
          <w:tcPr>
            <w:tcW w:w="2410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 *</w:t>
            </w:r>
          </w:p>
        </w:tc>
        <w:tc>
          <w:tcPr>
            <w:tcW w:w="2551" w:type="dxa"/>
          </w:tcPr>
          <w:p w:rsidR="00FF510B" w:rsidRPr="00A73EC6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.9</w:t>
            </w:r>
          </w:p>
        </w:tc>
        <w:tc>
          <w:tcPr>
            <w:tcW w:w="2552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</w:tr>
      <w:tr w:rsidR="00FF510B" w:rsidRPr="00A73EC6" w:rsidTr="00BD5813">
        <w:tc>
          <w:tcPr>
            <w:tcW w:w="3686" w:type="dxa"/>
          </w:tcPr>
          <w:p w:rsidR="00FF510B" w:rsidRPr="00A73EC6" w:rsidRDefault="00FF510B" w:rsidP="000135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3E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TG/HDL index</w:t>
            </w:r>
          </w:p>
        </w:tc>
        <w:tc>
          <w:tcPr>
            <w:tcW w:w="2410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*</w:t>
            </w:r>
          </w:p>
        </w:tc>
        <w:tc>
          <w:tcPr>
            <w:tcW w:w="2551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9*</w:t>
            </w:r>
          </w:p>
        </w:tc>
        <w:tc>
          <w:tcPr>
            <w:tcW w:w="2552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FF510B" w:rsidRPr="00A73EC6" w:rsidTr="00BD5813">
        <w:tc>
          <w:tcPr>
            <w:tcW w:w="3686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Glucose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mmol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F510B" w:rsidTr="00BD5813">
        <w:tc>
          <w:tcPr>
            <w:tcW w:w="3686" w:type="dxa"/>
          </w:tcPr>
          <w:p w:rsidR="00FF510B" w:rsidRPr="0082713A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HbA1c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2410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F510B" w:rsidTr="00BD5813">
        <w:tc>
          <w:tcPr>
            <w:tcW w:w="3686" w:type="dxa"/>
          </w:tcPr>
          <w:p w:rsidR="00FF510B" w:rsidRPr="0082713A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GFR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MDRD</w:t>
            </w:r>
            <w:r w:rsidRPr="00BF7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/1,73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410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 ±20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2551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FF510B" w:rsidTr="00BD5813">
        <w:tc>
          <w:tcPr>
            <w:tcW w:w="3686" w:type="dxa"/>
          </w:tcPr>
          <w:p w:rsidR="00FF510B" w:rsidRPr="00BF758A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GFR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Cockroft - Gault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10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±19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2551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±26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F510B" w:rsidTr="00BD5813">
        <w:tc>
          <w:tcPr>
            <w:tcW w:w="3686" w:type="dxa"/>
          </w:tcPr>
          <w:p w:rsidR="00FF510B" w:rsidRPr="00BF758A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mol</w:t>
            </w:r>
          </w:p>
        </w:tc>
        <w:tc>
          <w:tcPr>
            <w:tcW w:w="2410" w:type="dxa"/>
          </w:tcPr>
          <w:p w:rsidR="00FF510B" w:rsidRPr="00A73EC6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4.4</w:t>
            </w:r>
          </w:p>
        </w:tc>
        <w:tc>
          <w:tcPr>
            <w:tcW w:w="2551" w:type="dxa"/>
          </w:tcPr>
          <w:p w:rsidR="00FF510B" w:rsidRPr="00A73EC6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</w:p>
        </w:tc>
        <w:tc>
          <w:tcPr>
            <w:tcW w:w="2552" w:type="dxa"/>
          </w:tcPr>
          <w:p w:rsidR="00FF510B" w:rsidRPr="00A73EC6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2.5</w:t>
            </w:r>
          </w:p>
        </w:tc>
      </w:tr>
      <w:tr w:rsidR="00FF510B" w:rsidRPr="00A73EC6" w:rsidTr="00BD5813">
        <w:tc>
          <w:tcPr>
            <w:tcW w:w="3686" w:type="dxa"/>
          </w:tcPr>
          <w:p w:rsidR="00FF510B" w:rsidRPr="00BF758A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H2S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mol</w:t>
            </w:r>
          </w:p>
        </w:tc>
        <w:tc>
          <w:tcPr>
            <w:tcW w:w="2410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5.7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2.2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**</w:t>
            </w:r>
          </w:p>
        </w:tc>
        <w:tc>
          <w:tcPr>
            <w:tcW w:w="2552" w:type="dxa"/>
          </w:tcPr>
          <w:p w:rsidR="00FF510B" w:rsidRDefault="00FF510B" w:rsidP="00013563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7.4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7.9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**</w:t>
            </w:r>
          </w:p>
        </w:tc>
      </w:tr>
    </w:tbl>
    <w:p w:rsidR="00FF510B" w:rsidRDefault="00FF510B" w:rsidP="00013563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*р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&lt;0.05; **p&lt;0.01.</w:t>
      </w:r>
    </w:p>
    <w:p w:rsidR="00FF510B" w:rsidRDefault="00FF510B" w:rsidP="00013563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F510B" w:rsidRDefault="00FF510B" w:rsidP="00013563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D58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Pearson coefficient show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</w:t>
      </w:r>
      <w:r w:rsidRPr="00BD58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moderate positive corre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lation between SBP and MAU (r=0.3804; p&lt;0.</w:t>
      </w:r>
      <w:r w:rsidRPr="00BD58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01). But moderate negative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correlation was found</w:t>
      </w:r>
      <w:r w:rsidRPr="00044D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BD58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between H2S and MAU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(r= -0.</w:t>
      </w:r>
      <w:r w:rsidRPr="00BD58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34042;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 &lt;0.</w:t>
      </w:r>
      <w:r w:rsidRPr="00BD58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01)</w:t>
      </w:r>
      <w:proofErr w:type="gramStart"/>
      <w:r w:rsidRPr="00BD58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 the</w:t>
      </w:r>
      <w:proofErr w:type="gramEnd"/>
      <w:r w:rsidRPr="00BD58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same wa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 observed between SBP and MAU (r=-0.4443; p &lt;0.01). (fig.1).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decrease in H2S level leads to increase in S</w:t>
      </w:r>
      <w:r w:rsidRPr="00BD58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which provokes MAU</w:t>
      </w:r>
      <w:r w:rsidRPr="00BD58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FF510B" w:rsidRDefault="00FF510B" w:rsidP="00013563">
      <w:pPr>
        <w:spacing w:after="0" w:line="360" w:lineRule="auto"/>
        <w:ind w:left="-709"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w:lastRenderedPageBreak/>
        <w:drawing>
          <wp:inline distT="0" distB="0" distL="0" distR="0" wp14:anchorId="7590F10E" wp14:editId="547CAB75">
            <wp:extent cx="5475889" cy="320565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510B" w:rsidRPr="00CD4FF8" w:rsidRDefault="00FF510B" w:rsidP="00013563">
      <w:pPr>
        <w:spacing w:after="0" w:line="360" w:lineRule="auto"/>
        <w:ind w:left="-709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Fig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Correlation between H2S and MAU.</w:t>
      </w:r>
      <w:proofErr w:type="gramEnd"/>
    </w:p>
    <w:p w:rsidR="00FF510B" w:rsidRPr="00CD4FF8" w:rsidRDefault="00FF510B" w:rsidP="00013563">
      <w:pPr>
        <w:spacing w:after="0" w:line="360" w:lineRule="auto"/>
        <w:ind w:left="-709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F510B" w:rsidRDefault="00FF510B" w:rsidP="00013563">
      <w:pPr>
        <w:spacing w:after="0" w:line="360" w:lineRule="auto"/>
        <w:ind w:left="-709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A18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It can be said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that among all the components of MS, increase in </w:t>
      </w:r>
      <w:r w:rsidRPr="00AA18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blood pressure is the most harmful for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Pr="00AA18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kidney. Difference in BP between normoalbuminuria and microalbuminuria group confirms that even small oscillation in BP lead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AA18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kidney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damage.</w:t>
      </w:r>
      <w:r w:rsidRPr="00AA18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Correlation between H2S, MAU and</w:t>
      </w:r>
      <w:r w:rsidRPr="00AA18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SBP proves that endothelial dysfunction ta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kes place in its pathogenesis. Results received in our investigation match with the results </w:t>
      </w:r>
      <w:r w:rsidRPr="00AA18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 other investigation, in which low concentration of H2S correlates with high level of proteinuria [14].</w:t>
      </w:r>
    </w:p>
    <w:p w:rsidR="00FF510B" w:rsidRDefault="00FF510B" w:rsidP="00013563">
      <w:pPr>
        <w:spacing w:after="0" w:line="360" w:lineRule="auto"/>
        <w:ind w:left="-709"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73D3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Perspectives for future investigations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future works will be</w:t>
      </w:r>
      <w:r w:rsidRPr="00AA18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aim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 at</w:t>
      </w:r>
      <w:r w:rsidRPr="00AA18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early preventi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 of kidney damage, decrease in</w:t>
      </w:r>
      <w:r w:rsidRPr="00AA18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MAU and BP th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A18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ough the indication of hydrogen sulfide donors or drugs that elevate endogenous le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vel of H2S in patients with MS.</w:t>
      </w:r>
    </w:p>
    <w:p w:rsidR="00FF510B" w:rsidRDefault="00FF510B" w:rsidP="00013563">
      <w:pPr>
        <w:spacing w:after="0" w:line="360" w:lineRule="auto"/>
        <w:ind w:left="-709"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73D3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Conclusions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decrease in</w:t>
      </w:r>
      <w:r w:rsidR="000508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hydrogen sulfide level to 57.4±7.</w:t>
      </w:r>
      <w:r w:rsidRPr="005643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 µmol in patients with metabolic syndrome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has been revealed</w:t>
      </w:r>
      <w:r w:rsidRPr="005643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It can be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an </w:t>
      </w:r>
      <w:r w:rsidRPr="005643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early predictor of kidney impairment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FF510B" w:rsidRDefault="00FF510B" w:rsidP="00013563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F510B" w:rsidRDefault="00FF510B" w:rsidP="00013563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F510B" w:rsidRDefault="00FF510B" w:rsidP="00013563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F510B" w:rsidRDefault="00FF510B" w:rsidP="00013563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F510B" w:rsidRDefault="00FF510B" w:rsidP="00013563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F510B" w:rsidRDefault="00FF510B" w:rsidP="00013563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F510B" w:rsidRPr="00433464" w:rsidRDefault="00FF510B" w:rsidP="00013563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0D1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References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FF510B" w:rsidRPr="00433464" w:rsidRDefault="00FF510B" w:rsidP="00013563">
      <w:pPr>
        <w:spacing w:after="0" w:line="360" w:lineRule="auto"/>
        <w:ind w:left="-709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Bailey 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Wang Y, Zhu V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Rupnow M.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Chronic kidney disease in US adults with type 2 diabetes: an updated national estimate of prevalence based on Kidney Disease: Improving Global Outcomes (KDIGO)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staging. BMC Res Notes. 2014;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2; 407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415.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10.1186/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1756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oftHyphen/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415. </w:t>
      </w:r>
    </w:p>
    <w:p w:rsidR="00FF510B" w:rsidRPr="00433464" w:rsidRDefault="00FF510B" w:rsidP="00013563">
      <w:pPr>
        <w:spacing w:after="0" w:line="360" w:lineRule="auto"/>
        <w:ind w:left="-709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Beltowski J. Hydrogen sulfide in pharmacology and medicine- An update. Pharmacol Rep .2015;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67(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3):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647-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58. Doi: 10.1016/j.pharep.2015.01.005.</w:t>
      </w:r>
    </w:p>
    <w:p w:rsidR="00FF510B" w:rsidRPr="00433464" w:rsidRDefault="00FF510B" w:rsidP="00013563">
      <w:pPr>
        <w:spacing w:after="0" w:line="360" w:lineRule="auto"/>
        <w:ind w:left="-709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Bełtowski J. Hypoxia in the Renal Medulla: Implications for Hydrogen Sulfide Signal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ing .J Pharmacol Exp Ther. 2010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334(2):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358-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63. Doi: 10.1124/jpet.110.166637.</w:t>
      </w:r>
    </w:p>
    <w:p w:rsidR="00FF510B" w:rsidRPr="00433464" w:rsidRDefault="00FF510B" w:rsidP="00013563">
      <w:pPr>
        <w:spacing w:after="0" w:line="360" w:lineRule="auto"/>
        <w:ind w:left="-709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Flannigan KL, Wallace JL. Hydrogen sulfide-based anti-inflammatory and chemopreventive therap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ies: an experimental approach.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Curr Pharm Des. 2015;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21(21):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oftHyphen/>
        <w:t>3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22 .</w:t>
      </w:r>
    </w:p>
    <w:p w:rsidR="00FF510B" w:rsidRPr="00433464" w:rsidRDefault="00FF510B" w:rsidP="00013563">
      <w:pPr>
        <w:spacing w:after="0" w:line="360" w:lineRule="auto"/>
        <w:ind w:left="-709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Ghigliotti G, Barisione C, Garibaldi S, Fabbi P, Brunelli C, Spallarossa P, Altieri P, Rosa G, Spinella G, Palombo D, Arsenescu R, Arsenescu V. Adipose Tissue Immune Response: Novel Triggers and Consequences for Chronic Inflammatory Conditions.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Inflammation. 2014; 37(4):1337</w:t>
      </w:r>
      <w:r w:rsidRPr="008245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Pr="007578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53. Doi: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10.1007/s10753</w:t>
      </w:r>
      <w:r w:rsidRPr="008245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014</w:t>
      </w:r>
      <w:r w:rsidRPr="008245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9914</w:t>
      </w:r>
      <w:r w:rsidRPr="008245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</w:p>
    <w:p w:rsidR="00FF510B" w:rsidRPr="004667CC" w:rsidRDefault="00FF510B" w:rsidP="00013563">
      <w:pPr>
        <w:spacing w:after="0" w:line="360" w:lineRule="auto"/>
        <w:ind w:left="-709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Hidzynska I.M., Moroz H.Z., Lasytsia T.S., Bezuhla M.V. Metabolichnyi syndrom ta sertsevo-sudynnyi ryzyk: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suchasnyi pohliad na problemu</w:t>
      </w:r>
      <w:r w:rsidRPr="007578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Arterial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na hipertenziia.; 2012; 2 (3). </w:t>
      </w:r>
      <w:r w:rsidRPr="00466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http://www.mif-ua.com/archive/article/28854.</w:t>
      </w:r>
    </w:p>
    <w:p w:rsidR="00FF510B" w:rsidRPr="00433464" w:rsidRDefault="00FF510B" w:rsidP="00013563">
      <w:pPr>
        <w:spacing w:after="0" w:line="360" w:lineRule="auto"/>
        <w:ind w:left="-709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Kaur M, Sachdeva S, Bedi O, Kaur, Kumar. Combined effect of hydrogen sulphide donor and losartan in experimental diabetic nephropathy in rats. J Diabetes Metab Disord. 2015; 22;14:80. Doi: 10.1186/s40200-015-0212-8.</w:t>
      </w:r>
    </w:p>
    <w:p w:rsidR="00FF510B" w:rsidRPr="00433464" w:rsidRDefault="00FF510B" w:rsidP="00013563">
      <w:pPr>
        <w:spacing w:after="0" w:line="360" w:lineRule="auto"/>
        <w:ind w:left="-709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Kovalenko V.M., Talayeva T.V., Kozliuk A.S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3456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Metabolic syndrome: mechanisms, value as a predictor of card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iovascular diseases, approaches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456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 diagnosis and treatment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Uk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rai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nian cardiology journal</w:t>
      </w:r>
      <w:r w:rsidRPr="007578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oftHyphen/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2012; 5; 81-85.</w:t>
      </w:r>
    </w:p>
    <w:p w:rsidR="00FF510B" w:rsidRDefault="00FF510B" w:rsidP="00013563">
      <w:pPr>
        <w:spacing w:after="0" w:line="360" w:lineRule="auto"/>
        <w:ind w:left="-709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Maiko O.V.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arly diagnosis of chronic ren</w:t>
      </w:r>
      <w:r w:rsidRPr="003456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al failure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Visnyk Vinnytskoho natsionalnoho medychnoho universytetu. 2015; 19(1); 263.</w:t>
      </w:r>
    </w:p>
    <w:p w:rsidR="00FF510B" w:rsidRPr="00433464" w:rsidRDefault="00FF510B" w:rsidP="00013563">
      <w:pPr>
        <w:spacing w:after="0" w:line="360" w:lineRule="auto"/>
        <w:ind w:left="-709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10.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Nagpure BV, Bian JS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Interaction of Hydrogen Sulfide with nitric Oxi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 in the Cardiovascular system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Oxid Med Cell Longev. 2016;</w:t>
      </w:r>
      <w:r w:rsidR="000508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2016:</w:t>
      </w:r>
      <w:r w:rsidR="000508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6904327. Doi: 10.1155/2016/6904327.</w:t>
      </w:r>
    </w:p>
    <w:p w:rsidR="00FF510B" w:rsidRPr="00433464" w:rsidRDefault="00FF510B" w:rsidP="00013563">
      <w:pPr>
        <w:spacing w:after="0" w:line="360" w:lineRule="auto"/>
        <w:ind w:left="-709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11.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Nashar K, Egan BM. Relationship between chronic kidney disease and metabolic syndrome: current persp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ectives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Diabetes Metab Syndr Obes. 2014; 18;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421-35.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Doi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10.2147/DMSO.S45183.</w:t>
      </w:r>
    </w:p>
    <w:p w:rsidR="00FF510B" w:rsidRPr="00433464" w:rsidRDefault="00FF510B" w:rsidP="00013563">
      <w:pPr>
        <w:spacing w:after="0" w:line="360" w:lineRule="auto"/>
        <w:ind w:left="-709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Prasad GV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Metabolic syndrome and chronic kidney disease: Current status and future dire</w:t>
      </w:r>
      <w:r w:rsidR="000508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ctions. World J Nephrol. 2016;</w:t>
      </w:r>
      <w:r w:rsidR="000508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3(4):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210-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21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 Doi: 10.5527/wjn.v3.i4.210.</w:t>
      </w:r>
    </w:p>
    <w:p w:rsidR="00FF510B" w:rsidRPr="00433464" w:rsidRDefault="00FF510B" w:rsidP="00013563">
      <w:pPr>
        <w:spacing w:after="0" w:line="360" w:lineRule="auto"/>
        <w:ind w:left="-709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13.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Rojas E, Velasco M, Bermúdez V, Israili Z, Bolli P. Targeting Hypertension in Patients With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Cardio-Renal Metabolic Syndrome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Curr Hypertens Rep. 2012 Oct;14(5):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397-402. Doi: 10.1007/s11906-012-02925.</w:t>
      </w:r>
    </w:p>
    <w:p w:rsidR="00FF510B" w:rsidRPr="00433464" w:rsidRDefault="00FF510B" w:rsidP="00013563">
      <w:pPr>
        <w:spacing w:after="0" w:line="360" w:lineRule="auto"/>
        <w:ind w:left="-709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14.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Van den Born JC, Frenay AR, Bakker SJ, Pasch A, Hillebrands JL, Lam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bers Heerspink HJ, van Goor H.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High urinary sulfate concentration is associated with reduced risk of renal disease progression in type 2 diabetes. Nitric Oxide. 2016; 1;</w:t>
      </w:r>
      <w:r w:rsidRPr="000135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55-56:</w:t>
      </w:r>
      <w:r w:rsidRPr="000135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18-24. Doi: 10.1016/j.niox.2016.03.001.</w:t>
      </w:r>
    </w:p>
    <w:p w:rsidR="00FF510B" w:rsidRPr="00433464" w:rsidRDefault="00FF510B" w:rsidP="00013563">
      <w:pPr>
        <w:spacing w:after="0" w:line="360" w:lineRule="auto"/>
        <w:ind w:left="-709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15.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Zaichko N.V., Pentyuk 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.O, Pentyuk L.O, Melnyk A.V.,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Andr</w:t>
      </w:r>
      <w:r w:rsidR="000508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ushko I.I. Vyznachennya vmistu </w:t>
      </w: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gidrogensulfidu v syrovatci krovi. Visnyk naukovyx doslidzhen. 2009; 1(54); 29-32. http://nbuv.gov.ua/UJRN/vndt_2009_1(54)__10.  </w:t>
      </w:r>
    </w:p>
    <w:p w:rsidR="00FF510B" w:rsidRPr="00433464" w:rsidRDefault="00FF510B" w:rsidP="00013563">
      <w:pPr>
        <w:spacing w:after="0" w:line="360" w:lineRule="auto"/>
        <w:ind w:left="-709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F510B" w:rsidRPr="00050808" w:rsidRDefault="00FF510B" w:rsidP="00D57ED2">
      <w:pPr>
        <w:spacing w:after="0" w:line="360" w:lineRule="auto"/>
        <w:ind w:left="-709" w:right="-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33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73B52" w:rsidRPr="00767F2A" w:rsidRDefault="00D73B52" w:rsidP="002B0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D73B52" w:rsidRPr="00767F2A" w:rsidSect="00924DDA">
      <w:pgSz w:w="11906" w:h="16838" w:code="9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EC3"/>
    <w:rsid w:val="00003826"/>
    <w:rsid w:val="00004CC5"/>
    <w:rsid w:val="00007C83"/>
    <w:rsid w:val="000129E5"/>
    <w:rsid w:val="000166D3"/>
    <w:rsid w:val="00017225"/>
    <w:rsid w:val="0002536A"/>
    <w:rsid w:val="000258CE"/>
    <w:rsid w:val="00037265"/>
    <w:rsid w:val="00050808"/>
    <w:rsid w:val="00052CBB"/>
    <w:rsid w:val="00056FC4"/>
    <w:rsid w:val="00063C27"/>
    <w:rsid w:val="000758C8"/>
    <w:rsid w:val="00084C4F"/>
    <w:rsid w:val="00094950"/>
    <w:rsid w:val="00094CFC"/>
    <w:rsid w:val="00095845"/>
    <w:rsid w:val="00096A3A"/>
    <w:rsid w:val="000A2370"/>
    <w:rsid w:val="000B2C2E"/>
    <w:rsid w:val="000D0FEF"/>
    <w:rsid w:val="000D6618"/>
    <w:rsid w:val="000E061C"/>
    <w:rsid w:val="000E3732"/>
    <w:rsid w:val="000F325C"/>
    <w:rsid w:val="00107F80"/>
    <w:rsid w:val="001216E4"/>
    <w:rsid w:val="001259B6"/>
    <w:rsid w:val="00125DF2"/>
    <w:rsid w:val="00126C39"/>
    <w:rsid w:val="001275E3"/>
    <w:rsid w:val="00137C96"/>
    <w:rsid w:val="001515DC"/>
    <w:rsid w:val="00163963"/>
    <w:rsid w:val="00173293"/>
    <w:rsid w:val="00182138"/>
    <w:rsid w:val="0018218A"/>
    <w:rsid w:val="001902F4"/>
    <w:rsid w:val="001A0C2E"/>
    <w:rsid w:val="001A5B62"/>
    <w:rsid w:val="001C051B"/>
    <w:rsid w:val="001C2E06"/>
    <w:rsid w:val="001C3F98"/>
    <w:rsid w:val="001C663D"/>
    <w:rsid w:val="001D162B"/>
    <w:rsid w:val="001D6CA1"/>
    <w:rsid w:val="001E1237"/>
    <w:rsid w:val="00236852"/>
    <w:rsid w:val="00241C24"/>
    <w:rsid w:val="00243784"/>
    <w:rsid w:val="00252AEB"/>
    <w:rsid w:val="00293B7A"/>
    <w:rsid w:val="002A0300"/>
    <w:rsid w:val="002A69AD"/>
    <w:rsid w:val="002B078B"/>
    <w:rsid w:val="002C226A"/>
    <w:rsid w:val="002C343E"/>
    <w:rsid w:val="002D15B0"/>
    <w:rsid w:val="002E2984"/>
    <w:rsid w:val="002E3D2C"/>
    <w:rsid w:val="003007D8"/>
    <w:rsid w:val="00300C7E"/>
    <w:rsid w:val="00334FB3"/>
    <w:rsid w:val="00346FEB"/>
    <w:rsid w:val="00361CE0"/>
    <w:rsid w:val="00374E73"/>
    <w:rsid w:val="00385AED"/>
    <w:rsid w:val="003916C0"/>
    <w:rsid w:val="00395C35"/>
    <w:rsid w:val="003A646F"/>
    <w:rsid w:val="003B1E88"/>
    <w:rsid w:val="003C233C"/>
    <w:rsid w:val="003C57FF"/>
    <w:rsid w:val="003C6F02"/>
    <w:rsid w:val="003C78A3"/>
    <w:rsid w:val="004041D1"/>
    <w:rsid w:val="00406589"/>
    <w:rsid w:val="00406AC4"/>
    <w:rsid w:val="004250ED"/>
    <w:rsid w:val="00435A34"/>
    <w:rsid w:val="00436E3D"/>
    <w:rsid w:val="00442CC5"/>
    <w:rsid w:val="00460135"/>
    <w:rsid w:val="004702F1"/>
    <w:rsid w:val="004714B0"/>
    <w:rsid w:val="004725D9"/>
    <w:rsid w:val="00481EB1"/>
    <w:rsid w:val="00483FF8"/>
    <w:rsid w:val="004A54F5"/>
    <w:rsid w:val="004B77E0"/>
    <w:rsid w:val="004C75B1"/>
    <w:rsid w:val="004D16C7"/>
    <w:rsid w:val="004D1B69"/>
    <w:rsid w:val="004E0407"/>
    <w:rsid w:val="004E1231"/>
    <w:rsid w:val="004E4AAB"/>
    <w:rsid w:val="004F1623"/>
    <w:rsid w:val="004F2B5A"/>
    <w:rsid w:val="0050208D"/>
    <w:rsid w:val="00505526"/>
    <w:rsid w:val="00517832"/>
    <w:rsid w:val="005372CC"/>
    <w:rsid w:val="00547EB8"/>
    <w:rsid w:val="0055311A"/>
    <w:rsid w:val="0055587E"/>
    <w:rsid w:val="005647DA"/>
    <w:rsid w:val="0057293C"/>
    <w:rsid w:val="00573F37"/>
    <w:rsid w:val="0058018B"/>
    <w:rsid w:val="005924B9"/>
    <w:rsid w:val="005A7A65"/>
    <w:rsid w:val="005B6EF0"/>
    <w:rsid w:val="005C243F"/>
    <w:rsid w:val="005C3BEE"/>
    <w:rsid w:val="005C7775"/>
    <w:rsid w:val="005D4497"/>
    <w:rsid w:val="005D502F"/>
    <w:rsid w:val="005F2070"/>
    <w:rsid w:val="00601403"/>
    <w:rsid w:val="00606046"/>
    <w:rsid w:val="00642FEE"/>
    <w:rsid w:val="00665CE6"/>
    <w:rsid w:val="00665D70"/>
    <w:rsid w:val="006738F8"/>
    <w:rsid w:val="00675D13"/>
    <w:rsid w:val="00684050"/>
    <w:rsid w:val="00692E06"/>
    <w:rsid w:val="00695042"/>
    <w:rsid w:val="0069604B"/>
    <w:rsid w:val="006A24E5"/>
    <w:rsid w:val="006C7490"/>
    <w:rsid w:val="006D2BF5"/>
    <w:rsid w:val="006D6D65"/>
    <w:rsid w:val="006E5CAD"/>
    <w:rsid w:val="006F38F0"/>
    <w:rsid w:val="007005FA"/>
    <w:rsid w:val="00704418"/>
    <w:rsid w:val="00704907"/>
    <w:rsid w:val="00706C85"/>
    <w:rsid w:val="00722D0A"/>
    <w:rsid w:val="00723064"/>
    <w:rsid w:val="007270E6"/>
    <w:rsid w:val="007315E0"/>
    <w:rsid w:val="007323DC"/>
    <w:rsid w:val="00733EA0"/>
    <w:rsid w:val="00743B7C"/>
    <w:rsid w:val="00746DE8"/>
    <w:rsid w:val="00752772"/>
    <w:rsid w:val="00767F2A"/>
    <w:rsid w:val="0077385D"/>
    <w:rsid w:val="007D12AA"/>
    <w:rsid w:val="007E31CD"/>
    <w:rsid w:val="007F18E3"/>
    <w:rsid w:val="007F64DA"/>
    <w:rsid w:val="00802217"/>
    <w:rsid w:val="00802934"/>
    <w:rsid w:val="00825CD5"/>
    <w:rsid w:val="00826044"/>
    <w:rsid w:val="0082713A"/>
    <w:rsid w:val="0083187E"/>
    <w:rsid w:val="0084066B"/>
    <w:rsid w:val="00861757"/>
    <w:rsid w:val="00864EBF"/>
    <w:rsid w:val="00867DA6"/>
    <w:rsid w:val="0087037F"/>
    <w:rsid w:val="00871793"/>
    <w:rsid w:val="008831A8"/>
    <w:rsid w:val="008B3878"/>
    <w:rsid w:val="008C39E3"/>
    <w:rsid w:val="008C43CC"/>
    <w:rsid w:val="008E051B"/>
    <w:rsid w:val="008F64C8"/>
    <w:rsid w:val="0090103A"/>
    <w:rsid w:val="009056B8"/>
    <w:rsid w:val="00924DDA"/>
    <w:rsid w:val="00960551"/>
    <w:rsid w:val="00970B2D"/>
    <w:rsid w:val="00986C52"/>
    <w:rsid w:val="009A52CE"/>
    <w:rsid w:val="009A5AD9"/>
    <w:rsid w:val="009B4CE0"/>
    <w:rsid w:val="009F75BD"/>
    <w:rsid w:val="00A0095D"/>
    <w:rsid w:val="00A058DB"/>
    <w:rsid w:val="00A13470"/>
    <w:rsid w:val="00A13E14"/>
    <w:rsid w:val="00A158C6"/>
    <w:rsid w:val="00A21340"/>
    <w:rsid w:val="00A21931"/>
    <w:rsid w:val="00A2444F"/>
    <w:rsid w:val="00A2677A"/>
    <w:rsid w:val="00A42E18"/>
    <w:rsid w:val="00A54EC3"/>
    <w:rsid w:val="00A84924"/>
    <w:rsid w:val="00A9521C"/>
    <w:rsid w:val="00A964A7"/>
    <w:rsid w:val="00AA6F67"/>
    <w:rsid w:val="00AC16B1"/>
    <w:rsid w:val="00AC23FC"/>
    <w:rsid w:val="00AE3666"/>
    <w:rsid w:val="00AE5351"/>
    <w:rsid w:val="00B1534D"/>
    <w:rsid w:val="00B236B0"/>
    <w:rsid w:val="00B33F78"/>
    <w:rsid w:val="00B37B4E"/>
    <w:rsid w:val="00B400C2"/>
    <w:rsid w:val="00B505EE"/>
    <w:rsid w:val="00B56845"/>
    <w:rsid w:val="00B6611C"/>
    <w:rsid w:val="00B76958"/>
    <w:rsid w:val="00B801DD"/>
    <w:rsid w:val="00B837D9"/>
    <w:rsid w:val="00B869B5"/>
    <w:rsid w:val="00B939D6"/>
    <w:rsid w:val="00BA15CB"/>
    <w:rsid w:val="00BA1730"/>
    <w:rsid w:val="00BA1A03"/>
    <w:rsid w:val="00BA27DF"/>
    <w:rsid w:val="00BA34D1"/>
    <w:rsid w:val="00BD4749"/>
    <w:rsid w:val="00BE7C49"/>
    <w:rsid w:val="00BF73A5"/>
    <w:rsid w:val="00C157E4"/>
    <w:rsid w:val="00C231B3"/>
    <w:rsid w:val="00C267C6"/>
    <w:rsid w:val="00C35103"/>
    <w:rsid w:val="00C427A8"/>
    <w:rsid w:val="00C82DB9"/>
    <w:rsid w:val="00C90777"/>
    <w:rsid w:val="00C925C7"/>
    <w:rsid w:val="00C945BD"/>
    <w:rsid w:val="00CA1BF6"/>
    <w:rsid w:val="00CA3973"/>
    <w:rsid w:val="00CD0421"/>
    <w:rsid w:val="00CD66FF"/>
    <w:rsid w:val="00D00D6A"/>
    <w:rsid w:val="00D07811"/>
    <w:rsid w:val="00D13A54"/>
    <w:rsid w:val="00D15C34"/>
    <w:rsid w:val="00D17A29"/>
    <w:rsid w:val="00D35CB1"/>
    <w:rsid w:val="00D364C3"/>
    <w:rsid w:val="00D577E1"/>
    <w:rsid w:val="00D64A53"/>
    <w:rsid w:val="00D73B52"/>
    <w:rsid w:val="00D75560"/>
    <w:rsid w:val="00D77E82"/>
    <w:rsid w:val="00D83A8F"/>
    <w:rsid w:val="00D83D42"/>
    <w:rsid w:val="00DB1B66"/>
    <w:rsid w:val="00DC3324"/>
    <w:rsid w:val="00DC5C91"/>
    <w:rsid w:val="00DD42E9"/>
    <w:rsid w:val="00DE4819"/>
    <w:rsid w:val="00DF5413"/>
    <w:rsid w:val="00E00CAE"/>
    <w:rsid w:val="00E10F6A"/>
    <w:rsid w:val="00E14C0B"/>
    <w:rsid w:val="00E154D6"/>
    <w:rsid w:val="00E41D0D"/>
    <w:rsid w:val="00E47DAF"/>
    <w:rsid w:val="00E52B4F"/>
    <w:rsid w:val="00E67091"/>
    <w:rsid w:val="00E778ED"/>
    <w:rsid w:val="00E92122"/>
    <w:rsid w:val="00EA5964"/>
    <w:rsid w:val="00EB3894"/>
    <w:rsid w:val="00ED68D2"/>
    <w:rsid w:val="00EE7E56"/>
    <w:rsid w:val="00EF1EEA"/>
    <w:rsid w:val="00F05853"/>
    <w:rsid w:val="00F06A48"/>
    <w:rsid w:val="00F16FD3"/>
    <w:rsid w:val="00F40575"/>
    <w:rsid w:val="00F47C3B"/>
    <w:rsid w:val="00F47C42"/>
    <w:rsid w:val="00F51654"/>
    <w:rsid w:val="00F52F7F"/>
    <w:rsid w:val="00F6207E"/>
    <w:rsid w:val="00F773BA"/>
    <w:rsid w:val="00F92C62"/>
    <w:rsid w:val="00FA0AE9"/>
    <w:rsid w:val="00FB051C"/>
    <w:rsid w:val="00FB67FB"/>
    <w:rsid w:val="00FC63E6"/>
    <w:rsid w:val="00FD0053"/>
    <w:rsid w:val="00FD2012"/>
    <w:rsid w:val="00FE2570"/>
    <w:rsid w:val="00FE6180"/>
    <w:rsid w:val="00FF1F3A"/>
    <w:rsid w:val="00FF4649"/>
    <w:rsid w:val="00FF510B"/>
    <w:rsid w:val="00FF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B3"/>
  </w:style>
  <w:style w:type="paragraph" w:styleId="1">
    <w:name w:val="heading 1"/>
    <w:basedOn w:val="a"/>
    <w:next w:val="a"/>
    <w:link w:val="10"/>
    <w:uiPriority w:val="9"/>
    <w:qFormat/>
    <w:rsid w:val="0039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CharCharCharChar">
    <w:name w:val="Char Char Знак Знак Char Char Знак Знак Char Char Знак Знак Знак"/>
    <w:basedOn w:val="a"/>
    <w:uiPriority w:val="99"/>
    <w:rsid w:val="00F773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Placeholder Text"/>
    <w:basedOn w:val="a0"/>
    <w:uiPriority w:val="99"/>
    <w:semiHidden/>
    <w:rsid w:val="009B4CE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B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H2S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Лист1!$A$2:$A$65</c:f>
              <c:numCache>
                <c:formatCode>General</c:formatCode>
                <c:ptCount val="64"/>
                <c:pt idx="0">
                  <c:v>1.0000000000000014E-2</c:v>
                </c:pt>
                <c:pt idx="1">
                  <c:v>1.0000000000000014E-2</c:v>
                </c:pt>
                <c:pt idx="2">
                  <c:v>1.0000000000000014E-2</c:v>
                </c:pt>
                <c:pt idx="3">
                  <c:v>1.0000000000000014E-2</c:v>
                </c:pt>
                <c:pt idx="4">
                  <c:v>1.0000000000000014E-2</c:v>
                </c:pt>
                <c:pt idx="5">
                  <c:v>1.0000000000000014E-2</c:v>
                </c:pt>
                <c:pt idx="6">
                  <c:v>1.0000000000000014E-2</c:v>
                </c:pt>
                <c:pt idx="7">
                  <c:v>1.0000000000000014E-2</c:v>
                </c:pt>
                <c:pt idx="8">
                  <c:v>1.0000000000000014E-2</c:v>
                </c:pt>
                <c:pt idx="9">
                  <c:v>1.0000000000000014E-2</c:v>
                </c:pt>
                <c:pt idx="10">
                  <c:v>1.0000000000000014E-2</c:v>
                </c:pt>
                <c:pt idx="11">
                  <c:v>1.0000000000000014E-2</c:v>
                </c:pt>
                <c:pt idx="12">
                  <c:v>1.0000000000000014E-2</c:v>
                </c:pt>
                <c:pt idx="13">
                  <c:v>1.0000000000000014E-2</c:v>
                </c:pt>
                <c:pt idx="14">
                  <c:v>1.0000000000000014E-2</c:v>
                </c:pt>
                <c:pt idx="15">
                  <c:v>1.0000000000000014E-2</c:v>
                </c:pt>
                <c:pt idx="16">
                  <c:v>3.0000000000000044E-2</c:v>
                </c:pt>
                <c:pt idx="17">
                  <c:v>3.0000000000000044E-2</c:v>
                </c:pt>
                <c:pt idx="18">
                  <c:v>3.0000000000000044E-2</c:v>
                </c:pt>
                <c:pt idx="19">
                  <c:v>3.0000000000000044E-2</c:v>
                </c:pt>
                <c:pt idx="20">
                  <c:v>3.0000000000000044E-2</c:v>
                </c:pt>
                <c:pt idx="21">
                  <c:v>3.0000000000000044E-2</c:v>
                </c:pt>
                <c:pt idx="22">
                  <c:v>3.0000000000000044E-2</c:v>
                </c:pt>
                <c:pt idx="23">
                  <c:v>3.0000000000000044E-2</c:v>
                </c:pt>
                <c:pt idx="24">
                  <c:v>3.0000000000000044E-2</c:v>
                </c:pt>
                <c:pt idx="25">
                  <c:v>3.0000000000000044E-2</c:v>
                </c:pt>
                <c:pt idx="26">
                  <c:v>3.0000000000000044E-2</c:v>
                </c:pt>
                <c:pt idx="27">
                  <c:v>3.0000000000000044E-2</c:v>
                </c:pt>
                <c:pt idx="28">
                  <c:v>3.0000000000000044E-2</c:v>
                </c:pt>
                <c:pt idx="29">
                  <c:v>3.0000000000000044E-2</c:v>
                </c:pt>
                <c:pt idx="30">
                  <c:v>3.0000000000000044E-2</c:v>
                </c:pt>
                <c:pt idx="31">
                  <c:v>3.0000000000000044E-2</c:v>
                </c:pt>
                <c:pt idx="32">
                  <c:v>3.0000000000000044E-2</c:v>
                </c:pt>
                <c:pt idx="33">
                  <c:v>3.0000000000000044E-2</c:v>
                </c:pt>
                <c:pt idx="34">
                  <c:v>8.0000000000000113E-2</c:v>
                </c:pt>
                <c:pt idx="35">
                  <c:v>8.0000000000000113E-2</c:v>
                </c:pt>
                <c:pt idx="36">
                  <c:v>8.0000000000000113E-2</c:v>
                </c:pt>
                <c:pt idx="37">
                  <c:v>8.0000000000000113E-2</c:v>
                </c:pt>
                <c:pt idx="38">
                  <c:v>8.0000000000000113E-2</c:v>
                </c:pt>
                <c:pt idx="39">
                  <c:v>8.0000000000000113E-2</c:v>
                </c:pt>
                <c:pt idx="40">
                  <c:v>8.0000000000000113E-2</c:v>
                </c:pt>
                <c:pt idx="41">
                  <c:v>8.0000000000000113E-2</c:v>
                </c:pt>
                <c:pt idx="42">
                  <c:v>8.0000000000000113E-2</c:v>
                </c:pt>
                <c:pt idx="43">
                  <c:v>0.1</c:v>
                </c:pt>
                <c:pt idx="44">
                  <c:v>0.15000000000000022</c:v>
                </c:pt>
                <c:pt idx="45">
                  <c:v>0.15000000000000022</c:v>
                </c:pt>
                <c:pt idx="46">
                  <c:v>0.15000000000000022</c:v>
                </c:pt>
                <c:pt idx="47">
                  <c:v>0.15000000000000022</c:v>
                </c:pt>
                <c:pt idx="48">
                  <c:v>0.15000000000000022</c:v>
                </c:pt>
                <c:pt idx="49">
                  <c:v>0.15000000000000022</c:v>
                </c:pt>
                <c:pt idx="50">
                  <c:v>0.15000000000000022</c:v>
                </c:pt>
                <c:pt idx="51">
                  <c:v>0.15000000000000022</c:v>
                </c:pt>
                <c:pt idx="52">
                  <c:v>0.15000000000000022</c:v>
                </c:pt>
                <c:pt idx="53">
                  <c:v>0.15000000000000022</c:v>
                </c:pt>
                <c:pt idx="54">
                  <c:v>0.30000000000000032</c:v>
                </c:pt>
                <c:pt idx="55">
                  <c:v>0.30000000000000032</c:v>
                </c:pt>
                <c:pt idx="56">
                  <c:v>0.30000000000000032</c:v>
                </c:pt>
                <c:pt idx="57">
                  <c:v>0.30000000000000032</c:v>
                </c:pt>
                <c:pt idx="58">
                  <c:v>0.30000000000000032</c:v>
                </c:pt>
                <c:pt idx="59">
                  <c:v>0.30000000000000032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</c:numCache>
            </c:numRef>
          </c:xVal>
          <c:yVal>
            <c:numRef>
              <c:f>Лист1!$B$2:$B$65</c:f>
              <c:numCache>
                <c:formatCode>General</c:formatCode>
                <c:ptCount val="64"/>
                <c:pt idx="0">
                  <c:v>61.104718066743374</c:v>
                </c:pt>
                <c:pt idx="1">
                  <c:v>61.68</c:v>
                </c:pt>
                <c:pt idx="2">
                  <c:v>70.0428</c:v>
                </c:pt>
                <c:pt idx="3">
                  <c:v>76.410000000000025</c:v>
                </c:pt>
                <c:pt idx="4">
                  <c:v>70.345600000000005</c:v>
                </c:pt>
                <c:pt idx="5">
                  <c:v>67.7791</c:v>
                </c:pt>
                <c:pt idx="6">
                  <c:v>61.565000000000012</c:v>
                </c:pt>
                <c:pt idx="7">
                  <c:v>71.001149999999996</c:v>
                </c:pt>
                <c:pt idx="8">
                  <c:v>54.890700000000002</c:v>
                </c:pt>
                <c:pt idx="9">
                  <c:v>68.814729999999997</c:v>
                </c:pt>
                <c:pt idx="10">
                  <c:v>67.7791</c:v>
                </c:pt>
                <c:pt idx="11">
                  <c:v>63.886079999999993</c:v>
                </c:pt>
                <c:pt idx="12">
                  <c:v>70.771001150747978</c:v>
                </c:pt>
                <c:pt idx="13">
                  <c:v>62.335500000000003</c:v>
                </c:pt>
                <c:pt idx="14">
                  <c:v>79.861909999999995</c:v>
                </c:pt>
                <c:pt idx="15">
                  <c:v>60.644400000000005</c:v>
                </c:pt>
                <c:pt idx="16">
                  <c:v>61.334869999999995</c:v>
                </c:pt>
                <c:pt idx="17">
                  <c:v>64.787099999999995</c:v>
                </c:pt>
                <c:pt idx="18">
                  <c:v>63.176064441887164</c:v>
                </c:pt>
                <c:pt idx="19">
                  <c:v>59.786500000000011</c:v>
                </c:pt>
                <c:pt idx="20">
                  <c:v>69.735299999999995</c:v>
                </c:pt>
                <c:pt idx="21">
                  <c:v>60.759493670886044</c:v>
                </c:pt>
                <c:pt idx="22">
                  <c:v>60.459800000000001</c:v>
                </c:pt>
                <c:pt idx="23">
                  <c:v>64.787110000000027</c:v>
                </c:pt>
                <c:pt idx="24">
                  <c:v>61.091000000000001</c:v>
                </c:pt>
                <c:pt idx="25">
                  <c:v>74.096700000000013</c:v>
                </c:pt>
                <c:pt idx="26">
                  <c:v>60.759493670886044</c:v>
                </c:pt>
                <c:pt idx="27">
                  <c:v>64.787110000000027</c:v>
                </c:pt>
                <c:pt idx="28">
                  <c:v>58.918296892980436</c:v>
                </c:pt>
                <c:pt idx="29">
                  <c:v>62.486000000000004</c:v>
                </c:pt>
                <c:pt idx="30">
                  <c:v>65.566999999999993</c:v>
                </c:pt>
                <c:pt idx="31">
                  <c:v>70.245599999999996</c:v>
                </c:pt>
                <c:pt idx="32">
                  <c:v>61.910241657076995</c:v>
                </c:pt>
                <c:pt idx="33">
                  <c:v>72.957420000000027</c:v>
                </c:pt>
                <c:pt idx="34">
                  <c:v>60.456200000000003</c:v>
                </c:pt>
                <c:pt idx="35">
                  <c:v>61.104702000000003</c:v>
                </c:pt>
                <c:pt idx="36">
                  <c:v>61.104702000000003</c:v>
                </c:pt>
                <c:pt idx="37">
                  <c:v>57.192174913693911</c:v>
                </c:pt>
                <c:pt idx="38">
                  <c:v>80.322199999999981</c:v>
                </c:pt>
                <c:pt idx="39">
                  <c:v>62.485615650172605</c:v>
                </c:pt>
                <c:pt idx="40">
                  <c:v>65.566999999999993</c:v>
                </c:pt>
                <c:pt idx="41">
                  <c:v>69.965000000000003</c:v>
                </c:pt>
                <c:pt idx="42">
                  <c:v>64.442000000000007</c:v>
                </c:pt>
                <c:pt idx="43">
                  <c:v>61.104718066743374</c:v>
                </c:pt>
                <c:pt idx="44">
                  <c:v>55.581130000000002</c:v>
                </c:pt>
                <c:pt idx="45">
                  <c:v>56.27158</c:v>
                </c:pt>
                <c:pt idx="46">
                  <c:v>54.660300000000056</c:v>
                </c:pt>
                <c:pt idx="47">
                  <c:v>83.65937859608718</c:v>
                </c:pt>
                <c:pt idx="48">
                  <c:v>51.987599999999993</c:v>
                </c:pt>
                <c:pt idx="49">
                  <c:v>52.93441</c:v>
                </c:pt>
                <c:pt idx="50">
                  <c:v>50.654320000000006</c:v>
                </c:pt>
                <c:pt idx="51">
                  <c:v>58.457999999999998</c:v>
                </c:pt>
                <c:pt idx="52">
                  <c:v>67.318799999999982</c:v>
                </c:pt>
                <c:pt idx="53">
                  <c:v>72.345000000000013</c:v>
                </c:pt>
                <c:pt idx="54">
                  <c:v>50.234500000000011</c:v>
                </c:pt>
                <c:pt idx="55">
                  <c:v>61.234000000000002</c:v>
                </c:pt>
                <c:pt idx="56">
                  <c:v>68.584999999999994</c:v>
                </c:pt>
                <c:pt idx="57">
                  <c:v>51.616800000000005</c:v>
                </c:pt>
                <c:pt idx="58">
                  <c:v>59.263520000000057</c:v>
                </c:pt>
                <c:pt idx="59">
                  <c:v>54.789000000000001</c:v>
                </c:pt>
                <c:pt idx="60">
                  <c:v>64.456300000000013</c:v>
                </c:pt>
                <c:pt idx="61">
                  <c:v>48.10127</c:v>
                </c:pt>
                <c:pt idx="62">
                  <c:v>57.422320000000013</c:v>
                </c:pt>
                <c:pt idx="63">
                  <c:v>57.760000000000012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3875968"/>
        <c:axId val="157567616"/>
      </c:scatterChart>
      <c:valAx>
        <c:axId val="113875968"/>
        <c:scaling>
          <c:orientation val="minMax"/>
          <c:max val="0.4"/>
          <c:min val="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lang="uk-UA"/>
                </a:pPr>
                <a:r>
                  <a:rPr lang="uk-UA"/>
                  <a:t>МАУ</a:t>
                </a:r>
                <a:r>
                  <a:rPr lang="uk-UA" baseline="0"/>
                  <a:t> г/л</a:t>
                </a:r>
                <a:endParaRPr lang="uk-UA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57567616"/>
        <c:crosses val="autoZero"/>
        <c:crossBetween val="midCat"/>
      </c:valAx>
      <c:valAx>
        <c:axId val="157567616"/>
        <c:scaling>
          <c:orientation val="minMax"/>
          <c:max val="8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lang="uk-UA"/>
                </a:pPr>
                <a:r>
                  <a:rPr lang="en-US"/>
                  <a:t>H2S</a:t>
                </a:r>
                <a:r>
                  <a:rPr lang="en-US" baseline="0"/>
                  <a:t> </a:t>
                </a:r>
                <a:r>
                  <a:rPr lang="en-US" baseline="0">
                    <a:latin typeface="Calibri"/>
                    <a:cs typeface="Calibri"/>
                  </a:rPr>
                  <a:t>µ</a:t>
                </a:r>
                <a:r>
                  <a:rPr lang="uk-UA" baseline="0"/>
                  <a:t>мол</a:t>
                </a:r>
                <a:endParaRPr lang="uk-UA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1387596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H2S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Лист1!$A$2:$A$65</c:f>
              <c:numCache>
                <c:formatCode>General</c:formatCode>
                <c:ptCount val="64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0.01</c:v>
                </c:pt>
                <c:pt idx="4">
                  <c:v>0.01</c:v>
                </c:pt>
                <c:pt idx="5">
                  <c:v>0.01</c:v>
                </c:pt>
                <c:pt idx="6">
                  <c:v>0.01</c:v>
                </c:pt>
                <c:pt idx="7">
                  <c:v>0.01</c:v>
                </c:pt>
                <c:pt idx="8">
                  <c:v>0.01</c:v>
                </c:pt>
                <c:pt idx="9">
                  <c:v>0.01</c:v>
                </c:pt>
                <c:pt idx="10">
                  <c:v>0.01</c:v>
                </c:pt>
                <c:pt idx="11">
                  <c:v>0.01</c:v>
                </c:pt>
                <c:pt idx="12">
                  <c:v>0.01</c:v>
                </c:pt>
                <c:pt idx="13">
                  <c:v>0.01</c:v>
                </c:pt>
                <c:pt idx="14">
                  <c:v>0.01</c:v>
                </c:pt>
                <c:pt idx="15">
                  <c:v>0.01</c:v>
                </c:pt>
                <c:pt idx="16">
                  <c:v>0.03</c:v>
                </c:pt>
                <c:pt idx="17">
                  <c:v>0.03</c:v>
                </c:pt>
                <c:pt idx="18">
                  <c:v>0.03</c:v>
                </c:pt>
                <c:pt idx="19">
                  <c:v>0.03</c:v>
                </c:pt>
                <c:pt idx="20">
                  <c:v>0.03</c:v>
                </c:pt>
                <c:pt idx="21">
                  <c:v>0.03</c:v>
                </c:pt>
                <c:pt idx="22">
                  <c:v>0.03</c:v>
                </c:pt>
                <c:pt idx="23">
                  <c:v>0.03</c:v>
                </c:pt>
                <c:pt idx="24">
                  <c:v>0.03</c:v>
                </c:pt>
                <c:pt idx="25">
                  <c:v>0.03</c:v>
                </c:pt>
                <c:pt idx="26">
                  <c:v>0.03</c:v>
                </c:pt>
                <c:pt idx="27">
                  <c:v>0.03</c:v>
                </c:pt>
                <c:pt idx="28">
                  <c:v>0.03</c:v>
                </c:pt>
                <c:pt idx="29">
                  <c:v>0.03</c:v>
                </c:pt>
                <c:pt idx="30">
                  <c:v>0.03</c:v>
                </c:pt>
                <c:pt idx="31">
                  <c:v>0.03</c:v>
                </c:pt>
                <c:pt idx="32">
                  <c:v>0.03</c:v>
                </c:pt>
                <c:pt idx="33">
                  <c:v>0.03</c:v>
                </c:pt>
                <c:pt idx="34">
                  <c:v>0.08</c:v>
                </c:pt>
                <c:pt idx="35">
                  <c:v>0.08</c:v>
                </c:pt>
                <c:pt idx="36">
                  <c:v>0.08</c:v>
                </c:pt>
                <c:pt idx="37">
                  <c:v>0.08</c:v>
                </c:pt>
                <c:pt idx="38">
                  <c:v>0.08</c:v>
                </c:pt>
                <c:pt idx="39">
                  <c:v>0.08</c:v>
                </c:pt>
                <c:pt idx="40">
                  <c:v>0.08</c:v>
                </c:pt>
                <c:pt idx="41">
                  <c:v>0.08</c:v>
                </c:pt>
                <c:pt idx="42">
                  <c:v>0.08</c:v>
                </c:pt>
                <c:pt idx="43">
                  <c:v>0.1</c:v>
                </c:pt>
                <c:pt idx="44">
                  <c:v>0.15</c:v>
                </c:pt>
                <c:pt idx="45">
                  <c:v>0.15</c:v>
                </c:pt>
                <c:pt idx="46">
                  <c:v>0.15</c:v>
                </c:pt>
                <c:pt idx="47">
                  <c:v>0.15</c:v>
                </c:pt>
                <c:pt idx="48">
                  <c:v>0.15</c:v>
                </c:pt>
                <c:pt idx="49">
                  <c:v>0.15</c:v>
                </c:pt>
                <c:pt idx="50">
                  <c:v>0.15</c:v>
                </c:pt>
                <c:pt idx="51">
                  <c:v>0.15</c:v>
                </c:pt>
                <c:pt idx="52">
                  <c:v>0.15</c:v>
                </c:pt>
                <c:pt idx="53">
                  <c:v>0.15</c:v>
                </c:pt>
                <c:pt idx="54">
                  <c:v>0.3</c:v>
                </c:pt>
                <c:pt idx="55">
                  <c:v>0.3</c:v>
                </c:pt>
                <c:pt idx="56">
                  <c:v>0.3</c:v>
                </c:pt>
                <c:pt idx="57">
                  <c:v>0.3</c:v>
                </c:pt>
                <c:pt idx="58">
                  <c:v>0.3</c:v>
                </c:pt>
                <c:pt idx="59">
                  <c:v>0.3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</c:numCache>
            </c:numRef>
          </c:xVal>
          <c:yVal>
            <c:numRef>
              <c:f>Лист1!$B$2:$B$65</c:f>
              <c:numCache>
                <c:formatCode>General</c:formatCode>
                <c:ptCount val="64"/>
                <c:pt idx="0">
                  <c:v>61.104718066743381</c:v>
                </c:pt>
                <c:pt idx="1">
                  <c:v>61.68</c:v>
                </c:pt>
                <c:pt idx="2">
                  <c:v>70.0428</c:v>
                </c:pt>
                <c:pt idx="3">
                  <c:v>76.41</c:v>
                </c:pt>
                <c:pt idx="4">
                  <c:v>70.345600000000005</c:v>
                </c:pt>
                <c:pt idx="5">
                  <c:v>67.7791</c:v>
                </c:pt>
                <c:pt idx="6">
                  <c:v>61.564999999999998</c:v>
                </c:pt>
                <c:pt idx="7">
                  <c:v>71.001149999999996</c:v>
                </c:pt>
                <c:pt idx="8">
                  <c:v>54.890700000000002</c:v>
                </c:pt>
                <c:pt idx="9">
                  <c:v>68.814729999999997</c:v>
                </c:pt>
                <c:pt idx="10">
                  <c:v>67.7791</c:v>
                </c:pt>
                <c:pt idx="11">
                  <c:v>63.88608</c:v>
                </c:pt>
                <c:pt idx="12">
                  <c:v>70.771001150747992</c:v>
                </c:pt>
                <c:pt idx="13">
                  <c:v>62.335500000000003</c:v>
                </c:pt>
                <c:pt idx="14">
                  <c:v>79.861909999999995</c:v>
                </c:pt>
                <c:pt idx="15">
                  <c:v>60.644399999999997</c:v>
                </c:pt>
                <c:pt idx="16">
                  <c:v>61.334870000000002</c:v>
                </c:pt>
                <c:pt idx="17">
                  <c:v>64.787099999999995</c:v>
                </c:pt>
                <c:pt idx="18">
                  <c:v>63.176064441887227</c:v>
                </c:pt>
                <c:pt idx="19">
                  <c:v>59.786499999999997</c:v>
                </c:pt>
                <c:pt idx="20">
                  <c:v>69.735299999999995</c:v>
                </c:pt>
                <c:pt idx="21">
                  <c:v>60.75949367088608</c:v>
                </c:pt>
                <c:pt idx="22">
                  <c:v>60.459800000000001</c:v>
                </c:pt>
                <c:pt idx="23">
                  <c:v>64.787109999999998</c:v>
                </c:pt>
                <c:pt idx="24">
                  <c:v>61.091000000000001</c:v>
                </c:pt>
                <c:pt idx="25">
                  <c:v>74.096699999999998</c:v>
                </c:pt>
                <c:pt idx="26">
                  <c:v>60.75949367088608</c:v>
                </c:pt>
                <c:pt idx="27">
                  <c:v>64.787109999999998</c:v>
                </c:pt>
                <c:pt idx="28">
                  <c:v>58.918296892980436</c:v>
                </c:pt>
                <c:pt idx="29">
                  <c:v>62.485999999999997</c:v>
                </c:pt>
                <c:pt idx="30">
                  <c:v>65.566999999999993</c:v>
                </c:pt>
                <c:pt idx="31">
                  <c:v>70.245599999999996</c:v>
                </c:pt>
                <c:pt idx="32">
                  <c:v>61.910241657077101</c:v>
                </c:pt>
                <c:pt idx="33">
                  <c:v>72.957419999999999</c:v>
                </c:pt>
                <c:pt idx="34">
                  <c:v>60.456200000000003</c:v>
                </c:pt>
                <c:pt idx="35">
                  <c:v>61.104702000000003</c:v>
                </c:pt>
                <c:pt idx="36">
                  <c:v>61.104702000000003</c:v>
                </c:pt>
                <c:pt idx="37">
                  <c:v>57.192174913693904</c:v>
                </c:pt>
                <c:pt idx="38">
                  <c:v>80.322199999999995</c:v>
                </c:pt>
                <c:pt idx="39">
                  <c:v>62.485615650172612</c:v>
                </c:pt>
                <c:pt idx="40">
                  <c:v>65.566999999999993</c:v>
                </c:pt>
                <c:pt idx="41">
                  <c:v>69.965000000000003</c:v>
                </c:pt>
                <c:pt idx="42">
                  <c:v>64.441999999999993</c:v>
                </c:pt>
                <c:pt idx="43">
                  <c:v>61.104718066743381</c:v>
                </c:pt>
                <c:pt idx="44">
                  <c:v>55.581130000000002</c:v>
                </c:pt>
                <c:pt idx="45">
                  <c:v>56.27158</c:v>
                </c:pt>
                <c:pt idx="46">
                  <c:v>54.660299999999999</c:v>
                </c:pt>
                <c:pt idx="47">
                  <c:v>83.65937859608745</c:v>
                </c:pt>
                <c:pt idx="48">
                  <c:v>51.9876</c:v>
                </c:pt>
                <c:pt idx="49">
                  <c:v>52.93441</c:v>
                </c:pt>
                <c:pt idx="50">
                  <c:v>50.654319999999998</c:v>
                </c:pt>
                <c:pt idx="51">
                  <c:v>58.457999999999998</c:v>
                </c:pt>
                <c:pt idx="52">
                  <c:v>67.318799999999996</c:v>
                </c:pt>
                <c:pt idx="53">
                  <c:v>72.344999999999999</c:v>
                </c:pt>
                <c:pt idx="54">
                  <c:v>50.234499999999997</c:v>
                </c:pt>
                <c:pt idx="55">
                  <c:v>61.234000000000002</c:v>
                </c:pt>
                <c:pt idx="56">
                  <c:v>68.584999999999994</c:v>
                </c:pt>
                <c:pt idx="57">
                  <c:v>51.616799999999998</c:v>
                </c:pt>
                <c:pt idx="58">
                  <c:v>59.26352</c:v>
                </c:pt>
                <c:pt idx="59">
                  <c:v>54.789000000000001</c:v>
                </c:pt>
                <c:pt idx="60">
                  <c:v>64.456299999999999</c:v>
                </c:pt>
                <c:pt idx="61">
                  <c:v>48.10127</c:v>
                </c:pt>
                <c:pt idx="62">
                  <c:v>57.422319999999999</c:v>
                </c:pt>
                <c:pt idx="63">
                  <c:v>57.76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3176576"/>
        <c:axId val="113178496"/>
      </c:scatterChart>
      <c:valAx>
        <c:axId val="113176576"/>
        <c:scaling>
          <c:orientation val="minMax"/>
          <c:max val="0.4"/>
          <c:min val="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aseline="0"/>
                  <a:t>MAU</a:t>
                </a:r>
                <a:r>
                  <a:rPr lang="uk-UA" baseline="0"/>
                  <a:t> </a:t>
                </a:r>
                <a:r>
                  <a:rPr lang="en-US" baseline="0"/>
                  <a:t>g</a:t>
                </a:r>
                <a:r>
                  <a:rPr lang="uk-UA" baseline="0"/>
                  <a:t>/</a:t>
                </a:r>
                <a:r>
                  <a:rPr lang="en-US" baseline="0"/>
                  <a:t>l</a:t>
                </a:r>
              </a:p>
              <a:p>
                <a:pPr>
                  <a:defRPr/>
                </a:pPr>
                <a:endParaRPr lang="uk-UA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3178496"/>
        <c:crosses val="autoZero"/>
        <c:crossBetween val="midCat"/>
      </c:valAx>
      <c:valAx>
        <c:axId val="113178496"/>
        <c:scaling>
          <c:orientation val="minMax"/>
          <c:max val="8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H2S</a:t>
                </a:r>
                <a:r>
                  <a:rPr lang="en-US" baseline="0"/>
                  <a:t> </a:t>
                </a:r>
                <a:r>
                  <a:rPr lang="en-US" baseline="0">
                    <a:latin typeface="Calibri"/>
                    <a:cs typeface="Calibri"/>
                  </a:rPr>
                  <a:t>µ</a:t>
                </a:r>
                <a:r>
                  <a:rPr lang="uk-UA" baseline="0"/>
                  <a:t>мол</a:t>
                </a:r>
                <a:endParaRPr lang="uk-UA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317657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490A-D4CA-4E23-A5D9-7E600080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4930</TotalTime>
  <Pages>17</Pages>
  <Words>17301</Words>
  <Characters>9863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Дара</dc:creator>
  <cp:lastModifiedBy>admin</cp:lastModifiedBy>
  <cp:revision>133</cp:revision>
  <cp:lastPrinted>2017-05-16T08:07:00Z</cp:lastPrinted>
  <dcterms:created xsi:type="dcterms:W3CDTF">2016-03-03T19:56:00Z</dcterms:created>
  <dcterms:modified xsi:type="dcterms:W3CDTF">2017-06-08T15:26:00Z</dcterms:modified>
</cp:coreProperties>
</file>